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5A5" w:rsidRDefault="006865A5" w:rsidP="006865A5">
      <w:pPr>
        <w:rPr>
          <w:b/>
          <w:bCs/>
          <w:sz w:val="24"/>
          <w:szCs w:val="24"/>
        </w:rPr>
      </w:pPr>
      <w:proofErr w:type="spellStart"/>
      <w:r w:rsidRPr="006865A5">
        <w:rPr>
          <w:b/>
          <w:bCs/>
          <w:sz w:val="24"/>
          <w:szCs w:val="24"/>
        </w:rPr>
        <w:t>HomeGuard</w:t>
      </w:r>
      <w:proofErr w:type="spellEnd"/>
      <w:r w:rsidRPr="006865A5">
        <w:rPr>
          <w:b/>
          <w:bCs/>
          <w:sz w:val="24"/>
          <w:szCs w:val="24"/>
        </w:rPr>
        <w:t xml:space="preserve"> lakás biztosítás</w:t>
      </w:r>
    </w:p>
    <w:p w:rsidR="00E61CEF" w:rsidRPr="006865A5" w:rsidRDefault="00E61CEF" w:rsidP="006865A5">
      <w:pPr>
        <w:rPr>
          <w:b/>
          <w:bCs/>
          <w:sz w:val="24"/>
          <w:szCs w:val="24"/>
        </w:rPr>
      </w:pPr>
      <w:bookmarkStart w:id="0" w:name="_GoBack"/>
      <w:bookmarkEnd w:id="0"/>
    </w:p>
    <w:p w:rsidR="006865A5" w:rsidRPr="006865A5" w:rsidRDefault="006865A5" w:rsidP="006865A5">
      <w:pPr>
        <w:pStyle w:val="Listaszerbekezds"/>
        <w:numPr>
          <w:ilvl w:val="0"/>
          <w:numId w:val="1"/>
        </w:numPr>
        <w:rPr>
          <w:sz w:val="24"/>
          <w:szCs w:val="24"/>
        </w:rPr>
      </w:pPr>
      <w:r w:rsidRPr="006865A5">
        <w:rPr>
          <w:sz w:val="24"/>
          <w:szCs w:val="24"/>
        </w:rPr>
        <w:t>Területi kategóriák alapján díjmódosítás</w:t>
      </w:r>
    </w:p>
    <w:p w:rsidR="006865A5" w:rsidRDefault="006865A5" w:rsidP="006865A5">
      <w:pPr>
        <w:pStyle w:val="Listaszerbekezds"/>
        <w:rPr>
          <w:sz w:val="24"/>
          <w:szCs w:val="24"/>
        </w:rPr>
      </w:pPr>
    </w:p>
    <w:p w:rsidR="00E61CEF" w:rsidRPr="006865A5" w:rsidRDefault="00E61CEF" w:rsidP="006865A5">
      <w:pPr>
        <w:pStyle w:val="Listaszerbekezds"/>
        <w:rPr>
          <w:sz w:val="24"/>
          <w:szCs w:val="24"/>
        </w:rPr>
      </w:pPr>
    </w:p>
    <w:p w:rsidR="006865A5" w:rsidRPr="006865A5" w:rsidRDefault="006865A5" w:rsidP="006865A5">
      <w:pPr>
        <w:pStyle w:val="Listaszerbekezds"/>
        <w:numPr>
          <w:ilvl w:val="0"/>
          <w:numId w:val="1"/>
        </w:numPr>
        <w:rPr>
          <w:sz w:val="24"/>
          <w:szCs w:val="24"/>
        </w:rPr>
      </w:pPr>
      <w:r w:rsidRPr="006865A5">
        <w:rPr>
          <w:sz w:val="24"/>
          <w:szCs w:val="24"/>
        </w:rPr>
        <w:t>Balesetbiztosítás – eddig a termék nem tartalmazott ilyen fedezetet és sok jelzés érkezett felőletek ennek hiányáról és az ügyfelek erre vonatkozó igényéről. Megfelelve a kéréseknek a termék mind a három csomagjába beépítettünk balesetbiztosítási szolgáltatást az alábbi táblázat szerinti tartalommal. Ez nem opciós kiegészítő, hanem minden megkötött lakásbiztosítás tartalmazza ezt a szolgáltatást.</w:t>
      </w:r>
    </w:p>
    <w:tbl>
      <w:tblPr>
        <w:tblStyle w:val="Rcsostblzat"/>
        <w:tblW w:w="0" w:type="auto"/>
        <w:tblLook w:val="04A0" w:firstRow="1" w:lastRow="0" w:firstColumn="1" w:lastColumn="0" w:noHBand="0" w:noVBand="1"/>
      </w:tblPr>
      <w:tblGrid>
        <w:gridCol w:w="4031"/>
        <w:gridCol w:w="1677"/>
        <w:gridCol w:w="1677"/>
        <w:gridCol w:w="1677"/>
      </w:tblGrid>
      <w:tr w:rsidR="006865A5" w:rsidRPr="006865A5" w:rsidTr="00A632B0">
        <w:trPr>
          <w:trHeight w:val="476"/>
        </w:trPr>
        <w:tc>
          <w:tcPr>
            <w:tcW w:w="5552" w:type="dxa"/>
            <w:vMerge w:val="restart"/>
            <w:noWrap/>
            <w:hideMark/>
          </w:tcPr>
          <w:p w:rsidR="006865A5" w:rsidRPr="006865A5" w:rsidRDefault="006865A5" w:rsidP="00A632B0">
            <w:pPr>
              <w:rPr>
                <w:b/>
                <w:bCs/>
                <w:sz w:val="24"/>
                <w:szCs w:val="24"/>
              </w:rPr>
            </w:pPr>
            <w:r w:rsidRPr="006865A5">
              <w:rPr>
                <w:b/>
                <w:bCs/>
                <w:sz w:val="24"/>
                <w:szCs w:val="24"/>
              </w:rPr>
              <w:t>Balesetbiztosítás</w:t>
            </w:r>
          </w:p>
        </w:tc>
        <w:tc>
          <w:tcPr>
            <w:tcW w:w="2260" w:type="dxa"/>
            <w:vMerge w:val="restart"/>
            <w:noWrap/>
            <w:hideMark/>
          </w:tcPr>
          <w:p w:rsidR="006865A5" w:rsidRPr="006865A5" w:rsidRDefault="006865A5" w:rsidP="00A632B0">
            <w:pPr>
              <w:rPr>
                <w:b/>
                <w:bCs/>
                <w:sz w:val="24"/>
                <w:szCs w:val="24"/>
              </w:rPr>
            </w:pPr>
            <w:r w:rsidRPr="006865A5">
              <w:rPr>
                <w:b/>
                <w:bCs/>
                <w:sz w:val="24"/>
                <w:szCs w:val="24"/>
              </w:rPr>
              <w:t>Alap csomag</w:t>
            </w:r>
          </w:p>
        </w:tc>
        <w:tc>
          <w:tcPr>
            <w:tcW w:w="2260" w:type="dxa"/>
            <w:vMerge w:val="restart"/>
            <w:noWrap/>
            <w:hideMark/>
          </w:tcPr>
          <w:p w:rsidR="006865A5" w:rsidRPr="006865A5" w:rsidRDefault="006865A5" w:rsidP="00A632B0">
            <w:pPr>
              <w:rPr>
                <w:b/>
                <w:bCs/>
                <w:sz w:val="24"/>
                <w:szCs w:val="24"/>
              </w:rPr>
            </w:pPr>
            <w:r w:rsidRPr="006865A5">
              <w:rPr>
                <w:b/>
                <w:bCs/>
                <w:sz w:val="24"/>
                <w:szCs w:val="24"/>
              </w:rPr>
              <w:t>Médium csomag</w:t>
            </w:r>
          </w:p>
        </w:tc>
        <w:tc>
          <w:tcPr>
            <w:tcW w:w="2260" w:type="dxa"/>
            <w:vMerge w:val="restart"/>
            <w:noWrap/>
            <w:hideMark/>
          </w:tcPr>
          <w:p w:rsidR="006865A5" w:rsidRPr="006865A5" w:rsidRDefault="006865A5" w:rsidP="00A632B0">
            <w:pPr>
              <w:rPr>
                <w:b/>
                <w:bCs/>
                <w:sz w:val="24"/>
                <w:szCs w:val="24"/>
              </w:rPr>
            </w:pPr>
            <w:r w:rsidRPr="006865A5">
              <w:rPr>
                <w:b/>
                <w:bCs/>
                <w:sz w:val="24"/>
                <w:szCs w:val="24"/>
              </w:rPr>
              <w:t>Prémium csomag</w:t>
            </w:r>
          </w:p>
        </w:tc>
      </w:tr>
      <w:tr w:rsidR="006865A5" w:rsidRPr="006865A5" w:rsidTr="00A632B0">
        <w:trPr>
          <w:trHeight w:val="476"/>
        </w:trPr>
        <w:tc>
          <w:tcPr>
            <w:tcW w:w="5552" w:type="dxa"/>
            <w:vMerge/>
            <w:hideMark/>
          </w:tcPr>
          <w:p w:rsidR="006865A5" w:rsidRPr="006865A5" w:rsidRDefault="006865A5" w:rsidP="00A632B0">
            <w:pPr>
              <w:rPr>
                <w:b/>
                <w:bCs/>
                <w:sz w:val="24"/>
                <w:szCs w:val="24"/>
              </w:rPr>
            </w:pPr>
          </w:p>
        </w:tc>
        <w:tc>
          <w:tcPr>
            <w:tcW w:w="2260" w:type="dxa"/>
            <w:vMerge/>
            <w:hideMark/>
          </w:tcPr>
          <w:p w:rsidR="006865A5" w:rsidRPr="006865A5" w:rsidRDefault="006865A5" w:rsidP="00A632B0">
            <w:pPr>
              <w:rPr>
                <w:b/>
                <w:bCs/>
                <w:sz w:val="24"/>
                <w:szCs w:val="24"/>
              </w:rPr>
            </w:pPr>
          </w:p>
        </w:tc>
        <w:tc>
          <w:tcPr>
            <w:tcW w:w="2260" w:type="dxa"/>
            <w:vMerge/>
            <w:hideMark/>
          </w:tcPr>
          <w:p w:rsidR="006865A5" w:rsidRPr="006865A5" w:rsidRDefault="006865A5" w:rsidP="00A632B0">
            <w:pPr>
              <w:rPr>
                <w:b/>
                <w:bCs/>
                <w:sz w:val="24"/>
                <w:szCs w:val="24"/>
              </w:rPr>
            </w:pPr>
          </w:p>
        </w:tc>
        <w:tc>
          <w:tcPr>
            <w:tcW w:w="2260" w:type="dxa"/>
            <w:vMerge/>
            <w:hideMark/>
          </w:tcPr>
          <w:p w:rsidR="006865A5" w:rsidRPr="006865A5" w:rsidRDefault="006865A5" w:rsidP="00A632B0">
            <w:pPr>
              <w:rPr>
                <w:b/>
                <w:bCs/>
                <w:sz w:val="24"/>
                <w:szCs w:val="24"/>
              </w:rPr>
            </w:pPr>
          </w:p>
        </w:tc>
      </w:tr>
      <w:tr w:rsidR="006865A5" w:rsidRPr="006865A5" w:rsidTr="00A632B0">
        <w:trPr>
          <w:trHeight w:val="300"/>
        </w:trPr>
        <w:tc>
          <w:tcPr>
            <w:tcW w:w="5552" w:type="dxa"/>
            <w:noWrap/>
            <w:hideMark/>
          </w:tcPr>
          <w:p w:rsidR="006865A5" w:rsidRPr="006865A5" w:rsidRDefault="006865A5" w:rsidP="00A632B0">
            <w:pPr>
              <w:rPr>
                <w:sz w:val="24"/>
                <w:szCs w:val="24"/>
              </w:rPr>
            </w:pPr>
            <w:r w:rsidRPr="006865A5">
              <w:rPr>
                <w:sz w:val="24"/>
                <w:szCs w:val="24"/>
              </w:rPr>
              <w:t xml:space="preserve">Baleseti halál </w:t>
            </w:r>
          </w:p>
        </w:tc>
        <w:tc>
          <w:tcPr>
            <w:tcW w:w="2260" w:type="dxa"/>
            <w:noWrap/>
            <w:hideMark/>
          </w:tcPr>
          <w:p w:rsidR="006865A5" w:rsidRPr="006865A5" w:rsidRDefault="006865A5" w:rsidP="00A632B0">
            <w:pPr>
              <w:rPr>
                <w:sz w:val="24"/>
                <w:szCs w:val="24"/>
              </w:rPr>
            </w:pPr>
            <w:r w:rsidRPr="006865A5">
              <w:rPr>
                <w:sz w:val="24"/>
                <w:szCs w:val="24"/>
              </w:rPr>
              <w:t xml:space="preserve"> 500.000 Ft </w:t>
            </w:r>
          </w:p>
        </w:tc>
        <w:tc>
          <w:tcPr>
            <w:tcW w:w="2260" w:type="dxa"/>
            <w:noWrap/>
            <w:hideMark/>
          </w:tcPr>
          <w:p w:rsidR="006865A5" w:rsidRPr="006865A5" w:rsidRDefault="006865A5" w:rsidP="00A632B0">
            <w:pPr>
              <w:rPr>
                <w:sz w:val="24"/>
                <w:szCs w:val="24"/>
              </w:rPr>
            </w:pPr>
            <w:r w:rsidRPr="006865A5">
              <w:rPr>
                <w:sz w:val="24"/>
                <w:szCs w:val="24"/>
              </w:rPr>
              <w:t xml:space="preserve"> 750.000 Ft </w:t>
            </w:r>
          </w:p>
        </w:tc>
        <w:tc>
          <w:tcPr>
            <w:tcW w:w="2260" w:type="dxa"/>
            <w:noWrap/>
            <w:hideMark/>
          </w:tcPr>
          <w:p w:rsidR="006865A5" w:rsidRPr="006865A5" w:rsidRDefault="006865A5" w:rsidP="00A632B0">
            <w:pPr>
              <w:rPr>
                <w:sz w:val="24"/>
                <w:szCs w:val="24"/>
              </w:rPr>
            </w:pPr>
            <w:r w:rsidRPr="006865A5">
              <w:rPr>
                <w:sz w:val="24"/>
                <w:szCs w:val="24"/>
              </w:rPr>
              <w:t xml:space="preserve"> 1.000.000 Ft </w:t>
            </w:r>
          </w:p>
        </w:tc>
      </w:tr>
      <w:tr w:rsidR="006865A5" w:rsidRPr="006865A5" w:rsidTr="00A632B0">
        <w:trPr>
          <w:trHeight w:val="600"/>
        </w:trPr>
        <w:tc>
          <w:tcPr>
            <w:tcW w:w="5552" w:type="dxa"/>
            <w:hideMark/>
          </w:tcPr>
          <w:p w:rsidR="006865A5" w:rsidRPr="006865A5" w:rsidRDefault="006865A5" w:rsidP="00A632B0">
            <w:pPr>
              <w:rPr>
                <w:sz w:val="24"/>
                <w:szCs w:val="24"/>
              </w:rPr>
            </w:pPr>
            <w:r w:rsidRPr="006865A5">
              <w:rPr>
                <w:sz w:val="24"/>
                <w:szCs w:val="24"/>
              </w:rPr>
              <w:t>10% feletti baleseti maradandó egészségkárosodás</w:t>
            </w:r>
          </w:p>
        </w:tc>
        <w:tc>
          <w:tcPr>
            <w:tcW w:w="2260" w:type="dxa"/>
            <w:noWrap/>
            <w:hideMark/>
          </w:tcPr>
          <w:p w:rsidR="006865A5" w:rsidRPr="006865A5" w:rsidRDefault="006865A5" w:rsidP="00A632B0">
            <w:pPr>
              <w:rPr>
                <w:sz w:val="24"/>
                <w:szCs w:val="24"/>
              </w:rPr>
            </w:pPr>
            <w:r w:rsidRPr="006865A5">
              <w:rPr>
                <w:sz w:val="24"/>
                <w:szCs w:val="24"/>
              </w:rPr>
              <w:t xml:space="preserve"> 500.000 Ft </w:t>
            </w:r>
          </w:p>
        </w:tc>
        <w:tc>
          <w:tcPr>
            <w:tcW w:w="2260" w:type="dxa"/>
            <w:noWrap/>
            <w:hideMark/>
          </w:tcPr>
          <w:p w:rsidR="006865A5" w:rsidRPr="006865A5" w:rsidRDefault="006865A5" w:rsidP="00A632B0">
            <w:pPr>
              <w:rPr>
                <w:sz w:val="24"/>
                <w:szCs w:val="24"/>
              </w:rPr>
            </w:pPr>
            <w:r w:rsidRPr="006865A5">
              <w:rPr>
                <w:sz w:val="24"/>
                <w:szCs w:val="24"/>
              </w:rPr>
              <w:t xml:space="preserve"> 750.000 Ft </w:t>
            </w:r>
          </w:p>
        </w:tc>
        <w:tc>
          <w:tcPr>
            <w:tcW w:w="2260" w:type="dxa"/>
            <w:noWrap/>
            <w:hideMark/>
          </w:tcPr>
          <w:p w:rsidR="006865A5" w:rsidRPr="006865A5" w:rsidRDefault="006865A5" w:rsidP="00A632B0">
            <w:pPr>
              <w:rPr>
                <w:sz w:val="24"/>
                <w:szCs w:val="24"/>
              </w:rPr>
            </w:pPr>
            <w:r w:rsidRPr="006865A5">
              <w:rPr>
                <w:sz w:val="24"/>
                <w:szCs w:val="24"/>
              </w:rPr>
              <w:t xml:space="preserve"> 1.000.000 Ft </w:t>
            </w:r>
          </w:p>
        </w:tc>
      </w:tr>
      <w:tr w:rsidR="006865A5" w:rsidRPr="006865A5" w:rsidTr="00A632B0">
        <w:trPr>
          <w:trHeight w:val="300"/>
        </w:trPr>
        <w:tc>
          <w:tcPr>
            <w:tcW w:w="5552" w:type="dxa"/>
            <w:noWrap/>
            <w:hideMark/>
          </w:tcPr>
          <w:p w:rsidR="006865A5" w:rsidRPr="006865A5" w:rsidRDefault="006865A5" w:rsidP="00A632B0">
            <w:pPr>
              <w:rPr>
                <w:sz w:val="24"/>
                <w:szCs w:val="24"/>
              </w:rPr>
            </w:pPr>
            <w:r w:rsidRPr="006865A5">
              <w:rPr>
                <w:sz w:val="24"/>
                <w:szCs w:val="24"/>
              </w:rPr>
              <w:t>10% alatti baleseti maradandó egészségkárosodás</w:t>
            </w:r>
          </w:p>
        </w:tc>
        <w:tc>
          <w:tcPr>
            <w:tcW w:w="2260" w:type="dxa"/>
            <w:noWrap/>
            <w:hideMark/>
          </w:tcPr>
          <w:p w:rsidR="006865A5" w:rsidRPr="006865A5" w:rsidRDefault="006865A5" w:rsidP="00A632B0">
            <w:pPr>
              <w:rPr>
                <w:sz w:val="24"/>
                <w:szCs w:val="24"/>
              </w:rPr>
            </w:pPr>
            <w:r w:rsidRPr="006865A5">
              <w:rPr>
                <w:sz w:val="24"/>
                <w:szCs w:val="24"/>
              </w:rPr>
              <w:t xml:space="preserve"> 8.000 Ft </w:t>
            </w:r>
          </w:p>
        </w:tc>
        <w:tc>
          <w:tcPr>
            <w:tcW w:w="2260" w:type="dxa"/>
            <w:noWrap/>
            <w:hideMark/>
          </w:tcPr>
          <w:p w:rsidR="006865A5" w:rsidRPr="006865A5" w:rsidRDefault="006865A5" w:rsidP="00A632B0">
            <w:pPr>
              <w:rPr>
                <w:sz w:val="24"/>
                <w:szCs w:val="24"/>
              </w:rPr>
            </w:pPr>
            <w:r w:rsidRPr="006865A5">
              <w:rPr>
                <w:sz w:val="24"/>
                <w:szCs w:val="24"/>
              </w:rPr>
              <w:t xml:space="preserve"> 8.000 Ft </w:t>
            </w:r>
          </w:p>
        </w:tc>
        <w:tc>
          <w:tcPr>
            <w:tcW w:w="2260" w:type="dxa"/>
            <w:noWrap/>
            <w:hideMark/>
          </w:tcPr>
          <w:p w:rsidR="006865A5" w:rsidRPr="006865A5" w:rsidRDefault="006865A5" w:rsidP="00A632B0">
            <w:pPr>
              <w:rPr>
                <w:sz w:val="24"/>
                <w:szCs w:val="24"/>
              </w:rPr>
            </w:pPr>
            <w:r w:rsidRPr="006865A5">
              <w:rPr>
                <w:sz w:val="24"/>
                <w:szCs w:val="24"/>
              </w:rPr>
              <w:t xml:space="preserve"> 10.000 Ft </w:t>
            </w:r>
          </w:p>
        </w:tc>
      </w:tr>
      <w:tr w:rsidR="006865A5" w:rsidRPr="006865A5" w:rsidTr="00A632B0">
        <w:trPr>
          <w:trHeight w:val="300"/>
        </w:trPr>
        <w:tc>
          <w:tcPr>
            <w:tcW w:w="5552" w:type="dxa"/>
            <w:noWrap/>
            <w:hideMark/>
          </w:tcPr>
          <w:p w:rsidR="006865A5" w:rsidRPr="006865A5" w:rsidRDefault="006865A5" w:rsidP="00A632B0">
            <w:pPr>
              <w:rPr>
                <w:sz w:val="24"/>
                <w:szCs w:val="24"/>
              </w:rPr>
            </w:pPr>
            <w:r w:rsidRPr="006865A5">
              <w:rPr>
                <w:sz w:val="24"/>
                <w:szCs w:val="24"/>
              </w:rPr>
              <w:t>Kullancs okozta bénulás</w:t>
            </w:r>
          </w:p>
        </w:tc>
        <w:tc>
          <w:tcPr>
            <w:tcW w:w="2260" w:type="dxa"/>
            <w:noWrap/>
            <w:hideMark/>
          </w:tcPr>
          <w:p w:rsidR="006865A5" w:rsidRPr="006865A5" w:rsidRDefault="006865A5" w:rsidP="00A632B0">
            <w:pPr>
              <w:rPr>
                <w:sz w:val="24"/>
                <w:szCs w:val="24"/>
              </w:rPr>
            </w:pPr>
            <w:r w:rsidRPr="006865A5">
              <w:rPr>
                <w:sz w:val="24"/>
                <w:szCs w:val="24"/>
              </w:rPr>
              <w:t xml:space="preserve"> - </w:t>
            </w:r>
          </w:p>
        </w:tc>
        <w:tc>
          <w:tcPr>
            <w:tcW w:w="2260" w:type="dxa"/>
            <w:noWrap/>
            <w:hideMark/>
          </w:tcPr>
          <w:p w:rsidR="006865A5" w:rsidRPr="006865A5" w:rsidRDefault="006865A5" w:rsidP="00A632B0">
            <w:pPr>
              <w:rPr>
                <w:sz w:val="24"/>
                <w:szCs w:val="24"/>
              </w:rPr>
            </w:pPr>
            <w:r w:rsidRPr="006865A5">
              <w:rPr>
                <w:sz w:val="24"/>
                <w:szCs w:val="24"/>
              </w:rPr>
              <w:t xml:space="preserve"> - </w:t>
            </w:r>
          </w:p>
        </w:tc>
        <w:tc>
          <w:tcPr>
            <w:tcW w:w="2260" w:type="dxa"/>
            <w:noWrap/>
            <w:hideMark/>
          </w:tcPr>
          <w:p w:rsidR="006865A5" w:rsidRPr="006865A5" w:rsidRDefault="006865A5" w:rsidP="00A632B0">
            <w:pPr>
              <w:rPr>
                <w:sz w:val="24"/>
                <w:szCs w:val="24"/>
              </w:rPr>
            </w:pPr>
            <w:r w:rsidRPr="006865A5">
              <w:rPr>
                <w:sz w:val="24"/>
                <w:szCs w:val="24"/>
              </w:rPr>
              <w:t xml:space="preserve"> 100.000 Ft </w:t>
            </w:r>
          </w:p>
        </w:tc>
      </w:tr>
      <w:tr w:rsidR="006865A5" w:rsidRPr="006865A5" w:rsidTr="00A632B0">
        <w:trPr>
          <w:trHeight w:val="300"/>
        </w:trPr>
        <w:tc>
          <w:tcPr>
            <w:tcW w:w="5552" w:type="dxa"/>
            <w:noWrap/>
            <w:hideMark/>
          </w:tcPr>
          <w:p w:rsidR="006865A5" w:rsidRPr="006865A5" w:rsidRDefault="006865A5" w:rsidP="00A632B0">
            <w:pPr>
              <w:rPr>
                <w:sz w:val="24"/>
                <w:szCs w:val="24"/>
              </w:rPr>
            </w:pPr>
            <w:r w:rsidRPr="006865A5">
              <w:rPr>
                <w:sz w:val="24"/>
                <w:szCs w:val="24"/>
              </w:rPr>
              <w:t>Csonttörés, csontrepedés</w:t>
            </w:r>
          </w:p>
        </w:tc>
        <w:tc>
          <w:tcPr>
            <w:tcW w:w="2260" w:type="dxa"/>
            <w:noWrap/>
            <w:hideMark/>
          </w:tcPr>
          <w:p w:rsidR="006865A5" w:rsidRPr="006865A5" w:rsidRDefault="006865A5" w:rsidP="00A632B0">
            <w:pPr>
              <w:rPr>
                <w:sz w:val="24"/>
                <w:szCs w:val="24"/>
              </w:rPr>
            </w:pPr>
            <w:r w:rsidRPr="006865A5">
              <w:rPr>
                <w:sz w:val="24"/>
                <w:szCs w:val="24"/>
              </w:rPr>
              <w:t xml:space="preserve"> 10.000 Ft </w:t>
            </w:r>
          </w:p>
        </w:tc>
        <w:tc>
          <w:tcPr>
            <w:tcW w:w="2260" w:type="dxa"/>
            <w:noWrap/>
            <w:hideMark/>
          </w:tcPr>
          <w:p w:rsidR="006865A5" w:rsidRPr="006865A5" w:rsidRDefault="006865A5" w:rsidP="00A632B0">
            <w:pPr>
              <w:rPr>
                <w:sz w:val="24"/>
                <w:szCs w:val="24"/>
              </w:rPr>
            </w:pPr>
            <w:r w:rsidRPr="006865A5">
              <w:rPr>
                <w:sz w:val="24"/>
                <w:szCs w:val="24"/>
              </w:rPr>
              <w:t xml:space="preserve"> 10.000 Ft </w:t>
            </w:r>
          </w:p>
        </w:tc>
        <w:tc>
          <w:tcPr>
            <w:tcW w:w="2260" w:type="dxa"/>
            <w:noWrap/>
            <w:hideMark/>
          </w:tcPr>
          <w:p w:rsidR="006865A5" w:rsidRPr="006865A5" w:rsidRDefault="006865A5" w:rsidP="00A632B0">
            <w:pPr>
              <w:rPr>
                <w:sz w:val="24"/>
                <w:szCs w:val="24"/>
              </w:rPr>
            </w:pPr>
            <w:r w:rsidRPr="006865A5">
              <w:rPr>
                <w:sz w:val="24"/>
                <w:szCs w:val="24"/>
              </w:rPr>
              <w:t xml:space="preserve"> 15.000 Ft </w:t>
            </w:r>
          </w:p>
        </w:tc>
      </w:tr>
      <w:tr w:rsidR="006865A5" w:rsidRPr="006865A5" w:rsidTr="00A632B0">
        <w:trPr>
          <w:trHeight w:val="300"/>
        </w:trPr>
        <w:tc>
          <w:tcPr>
            <w:tcW w:w="5552" w:type="dxa"/>
            <w:noWrap/>
            <w:hideMark/>
          </w:tcPr>
          <w:p w:rsidR="006865A5" w:rsidRPr="006865A5" w:rsidRDefault="006865A5" w:rsidP="00A632B0">
            <w:pPr>
              <w:rPr>
                <w:sz w:val="24"/>
                <w:szCs w:val="24"/>
              </w:rPr>
            </w:pPr>
            <w:r w:rsidRPr="006865A5">
              <w:rPr>
                <w:sz w:val="24"/>
                <w:szCs w:val="24"/>
              </w:rPr>
              <w:t>Égési sérülés</w:t>
            </w:r>
          </w:p>
        </w:tc>
        <w:tc>
          <w:tcPr>
            <w:tcW w:w="2260" w:type="dxa"/>
            <w:noWrap/>
            <w:hideMark/>
          </w:tcPr>
          <w:p w:rsidR="006865A5" w:rsidRPr="006865A5" w:rsidRDefault="006865A5" w:rsidP="00A632B0">
            <w:pPr>
              <w:rPr>
                <w:sz w:val="24"/>
                <w:szCs w:val="24"/>
              </w:rPr>
            </w:pPr>
            <w:r w:rsidRPr="006865A5">
              <w:rPr>
                <w:sz w:val="24"/>
                <w:szCs w:val="24"/>
              </w:rPr>
              <w:t xml:space="preserve"> - </w:t>
            </w:r>
          </w:p>
        </w:tc>
        <w:tc>
          <w:tcPr>
            <w:tcW w:w="2260" w:type="dxa"/>
            <w:noWrap/>
            <w:hideMark/>
          </w:tcPr>
          <w:p w:rsidR="006865A5" w:rsidRPr="006865A5" w:rsidRDefault="006865A5" w:rsidP="00A632B0">
            <w:pPr>
              <w:rPr>
                <w:sz w:val="24"/>
                <w:szCs w:val="24"/>
              </w:rPr>
            </w:pPr>
            <w:r w:rsidRPr="006865A5">
              <w:rPr>
                <w:sz w:val="24"/>
                <w:szCs w:val="24"/>
              </w:rPr>
              <w:t xml:space="preserve"> - </w:t>
            </w:r>
          </w:p>
        </w:tc>
        <w:tc>
          <w:tcPr>
            <w:tcW w:w="2260" w:type="dxa"/>
            <w:noWrap/>
            <w:hideMark/>
          </w:tcPr>
          <w:p w:rsidR="006865A5" w:rsidRPr="006865A5" w:rsidRDefault="006865A5" w:rsidP="00A632B0">
            <w:pPr>
              <w:rPr>
                <w:sz w:val="24"/>
                <w:szCs w:val="24"/>
              </w:rPr>
            </w:pPr>
            <w:r w:rsidRPr="006865A5">
              <w:rPr>
                <w:sz w:val="24"/>
                <w:szCs w:val="24"/>
              </w:rPr>
              <w:t xml:space="preserve"> 30.000 Ft </w:t>
            </w:r>
          </w:p>
        </w:tc>
      </w:tr>
      <w:tr w:rsidR="006865A5" w:rsidRPr="006865A5" w:rsidTr="00A632B0">
        <w:trPr>
          <w:trHeight w:val="300"/>
        </w:trPr>
        <w:tc>
          <w:tcPr>
            <w:tcW w:w="5552" w:type="dxa"/>
            <w:hideMark/>
          </w:tcPr>
          <w:p w:rsidR="006865A5" w:rsidRPr="006865A5" w:rsidRDefault="006865A5" w:rsidP="00A632B0">
            <w:pPr>
              <w:rPr>
                <w:sz w:val="24"/>
                <w:szCs w:val="24"/>
              </w:rPr>
            </w:pPr>
            <w:r w:rsidRPr="006865A5">
              <w:rPr>
                <w:sz w:val="24"/>
                <w:szCs w:val="24"/>
              </w:rPr>
              <w:t>Baleset miatti kórházi fekvőbeteg ellátás</w:t>
            </w:r>
          </w:p>
        </w:tc>
        <w:tc>
          <w:tcPr>
            <w:tcW w:w="2260" w:type="dxa"/>
            <w:noWrap/>
            <w:hideMark/>
          </w:tcPr>
          <w:p w:rsidR="006865A5" w:rsidRPr="006865A5" w:rsidRDefault="006865A5" w:rsidP="00A632B0">
            <w:pPr>
              <w:rPr>
                <w:sz w:val="24"/>
                <w:szCs w:val="24"/>
              </w:rPr>
            </w:pPr>
            <w:r w:rsidRPr="006865A5">
              <w:rPr>
                <w:sz w:val="24"/>
                <w:szCs w:val="24"/>
              </w:rPr>
              <w:t xml:space="preserve"> - </w:t>
            </w:r>
          </w:p>
        </w:tc>
        <w:tc>
          <w:tcPr>
            <w:tcW w:w="2260" w:type="dxa"/>
            <w:noWrap/>
            <w:hideMark/>
          </w:tcPr>
          <w:p w:rsidR="006865A5" w:rsidRPr="006865A5" w:rsidRDefault="006865A5" w:rsidP="00A632B0">
            <w:pPr>
              <w:rPr>
                <w:sz w:val="24"/>
                <w:szCs w:val="24"/>
              </w:rPr>
            </w:pPr>
            <w:r w:rsidRPr="006865A5">
              <w:rPr>
                <w:sz w:val="24"/>
                <w:szCs w:val="24"/>
              </w:rPr>
              <w:t xml:space="preserve"> - </w:t>
            </w:r>
          </w:p>
        </w:tc>
        <w:tc>
          <w:tcPr>
            <w:tcW w:w="2260" w:type="dxa"/>
            <w:noWrap/>
            <w:hideMark/>
          </w:tcPr>
          <w:p w:rsidR="006865A5" w:rsidRPr="006865A5" w:rsidRDefault="006865A5" w:rsidP="00A632B0">
            <w:pPr>
              <w:rPr>
                <w:sz w:val="24"/>
                <w:szCs w:val="24"/>
              </w:rPr>
            </w:pPr>
            <w:r w:rsidRPr="006865A5">
              <w:rPr>
                <w:sz w:val="24"/>
                <w:szCs w:val="24"/>
              </w:rPr>
              <w:t xml:space="preserve"> 20.000 Ft </w:t>
            </w:r>
          </w:p>
        </w:tc>
      </w:tr>
      <w:tr w:rsidR="006865A5" w:rsidRPr="006865A5" w:rsidTr="00A632B0">
        <w:trPr>
          <w:trHeight w:val="315"/>
        </w:trPr>
        <w:tc>
          <w:tcPr>
            <w:tcW w:w="5552" w:type="dxa"/>
            <w:noWrap/>
            <w:hideMark/>
          </w:tcPr>
          <w:p w:rsidR="006865A5" w:rsidRPr="006865A5" w:rsidRDefault="006865A5" w:rsidP="00A632B0">
            <w:pPr>
              <w:rPr>
                <w:sz w:val="24"/>
                <w:szCs w:val="24"/>
              </w:rPr>
            </w:pPr>
            <w:r w:rsidRPr="006865A5">
              <w:rPr>
                <w:sz w:val="24"/>
                <w:szCs w:val="24"/>
              </w:rPr>
              <w:t>Baleset miatti műtéti térítés</w:t>
            </w:r>
          </w:p>
        </w:tc>
        <w:tc>
          <w:tcPr>
            <w:tcW w:w="2260" w:type="dxa"/>
            <w:noWrap/>
            <w:hideMark/>
          </w:tcPr>
          <w:p w:rsidR="006865A5" w:rsidRPr="006865A5" w:rsidRDefault="006865A5" w:rsidP="00A632B0">
            <w:pPr>
              <w:rPr>
                <w:sz w:val="24"/>
                <w:szCs w:val="24"/>
              </w:rPr>
            </w:pPr>
            <w:r w:rsidRPr="006865A5">
              <w:rPr>
                <w:sz w:val="24"/>
                <w:szCs w:val="24"/>
              </w:rPr>
              <w:t xml:space="preserve"> - </w:t>
            </w:r>
          </w:p>
        </w:tc>
        <w:tc>
          <w:tcPr>
            <w:tcW w:w="2260" w:type="dxa"/>
            <w:noWrap/>
            <w:hideMark/>
          </w:tcPr>
          <w:p w:rsidR="006865A5" w:rsidRPr="006865A5" w:rsidRDefault="006865A5" w:rsidP="00A632B0">
            <w:pPr>
              <w:rPr>
                <w:sz w:val="24"/>
                <w:szCs w:val="24"/>
              </w:rPr>
            </w:pPr>
            <w:r w:rsidRPr="006865A5">
              <w:rPr>
                <w:sz w:val="24"/>
                <w:szCs w:val="24"/>
              </w:rPr>
              <w:t xml:space="preserve"> - </w:t>
            </w:r>
          </w:p>
        </w:tc>
        <w:tc>
          <w:tcPr>
            <w:tcW w:w="2260" w:type="dxa"/>
            <w:noWrap/>
            <w:hideMark/>
          </w:tcPr>
          <w:p w:rsidR="006865A5" w:rsidRPr="006865A5" w:rsidRDefault="006865A5" w:rsidP="00A632B0">
            <w:pPr>
              <w:rPr>
                <w:sz w:val="24"/>
                <w:szCs w:val="24"/>
              </w:rPr>
            </w:pPr>
            <w:r w:rsidRPr="006865A5">
              <w:rPr>
                <w:sz w:val="24"/>
                <w:szCs w:val="24"/>
              </w:rPr>
              <w:t xml:space="preserve"> 20.000 Ft </w:t>
            </w:r>
          </w:p>
        </w:tc>
      </w:tr>
    </w:tbl>
    <w:p w:rsidR="006865A5" w:rsidRDefault="006865A5" w:rsidP="006865A5">
      <w:pPr>
        <w:pStyle w:val="Listaszerbekezds"/>
        <w:rPr>
          <w:sz w:val="24"/>
          <w:szCs w:val="24"/>
        </w:rPr>
      </w:pPr>
    </w:p>
    <w:p w:rsidR="00E61CEF" w:rsidRPr="006865A5" w:rsidRDefault="00E61CEF" w:rsidP="006865A5">
      <w:pPr>
        <w:pStyle w:val="Listaszerbekezds"/>
        <w:rPr>
          <w:sz w:val="24"/>
          <w:szCs w:val="24"/>
        </w:rPr>
      </w:pPr>
    </w:p>
    <w:p w:rsidR="006865A5" w:rsidRPr="006865A5" w:rsidRDefault="006865A5" w:rsidP="006865A5">
      <w:pPr>
        <w:pStyle w:val="Listaszerbekezds"/>
        <w:numPr>
          <w:ilvl w:val="0"/>
          <w:numId w:val="1"/>
        </w:numPr>
        <w:rPr>
          <w:sz w:val="24"/>
          <w:szCs w:val="24"/>
        </w:rPr>
      </w:pPr>
      <w:r w:rsidRPr="00E61CEF">
        <w:rPr>
          <w:b/>
          <w:bCs/>
          <w:sz w:val="24"/>
          <w:szCs w:val="24"/>
        </w:rPr>
        <w:t>Kockázatviselés kezdet +365 nap</w:t>
      </w:r>
      <w:r w:rsidRPr="006865A5">
        <w:rPr>
          <w:sz w:val="24"/>
          <w:szCs w:val="24"/>
        </w:rPr>
        <w:t>, azaz az Ajánlatkészítés napján akár egy évvel is eltolható a szerződés kezdő napja. Ezzel a megoldással olyan ügyfeleknek is tudtok ajánlatot készíteni, akiknek a találkozótok alkalmával nemrégen újult meg a lakásbiztosítási szerződése.</w:t>
      </w:r>
    </w:p>
    <w:p w:rsidR="006865A5" w:rsidRDefault="006865A5" w:rsidP="006865A5">
      <w:pPr>
        <w:pStyle w:val="Listaszerbekezds"/>
        <w:rPr>
          <w:sz w:val="24"/>
          <w:szCs w:val="24"/>
        </w:rPr>
      </w:pPr>
    </w:p>
    <w:p w:rsidR="00E61CEF" w:rsidRPr="006865A5" w:rsidRDefault="00E61CEF" w:rsidP="006865A5">
      <w:pPr>
        <w:pStyle w:val="Listaszerbekezds"/>
        <w:rPr>
          <w:sz w:val="24"/>
          <w:szCs w:val="24"/>
        </w:rPr>
      </w:pPr>
    </w:p>
    <w:p w:rsidR="006865A5" w:rsidRPr="006865A5" w:rsidRDefault="006865A5" w:rsidP="006865A5">
      <w:pPr>
        <w:pStyle w:val="Listaszerbekezds"/>
        <w:numPr>
          <w:ilvl w:val="0"/>
          <w:numId w:val="1"/>
        </w:numPr>
        <w:rPr>
          <w:sz w:val="24"/>
          <w:szCs w:val="24"/>
        </w:rPr>
      </w:pPr>
      <w:r w:rsidRPr="00E61CEF">
        <w:rPr>
          <w:b/>
          <w:bCs/>
          <w:sz w:val="24"/>
          <w:szCs w:val="24"/>
        </w:rPr>
        <w:t>Épület biztosítása önállóan</w:t>
      </w:r>
      <w:r w:rsidRPr="006865A5">
        <w:rPr>
          <w:sz w:val="24"/>
          <w:szCs w:val="24"/>
        </w:rPr>
        <w:t xml:space="preserve"> - azok az ügyfelek, akik ingatlanjaikat bérbe adják, vagy nem lakják az ingatlant és nem is tárolnak benne ingóságot számukra nyújtott lehetőség az Épületet önállóan biztosítani. Ilyen esetben az Ingóság biztosítási összegét állítsátok be 0 Ft-ra. Minden Épület típusra vonatkozik (Családi ház, sorház, ikerház; Lakás, bérlakás; Nyaraló)</w:t>
      </w:r>
    </w:p>
    <w:p w:rsidR="006865A5" w:rsidRDefault="006865A5" w:rsidP="006865A5">
      <w:pPr>
        <w:pStyle w:val="Listaszerbekezds"/>
        <w:rPr>
          <w:sz w:val="24"/>
          <w:szCs w:val="24"/>
        </w:rPr>
      </w:pPr>
    </w:p>
    <w:p w:rsidR="00E61CEF" w:rsidRPr="006865A5" w:rsidRDefault="00E61CEF" w:rsidP="006865A5">
      <w:pPr>
        <w:pStyle w:val="Listaszerbekezds"/>
        <w:rPr>
          <w:sz w:val="24"/>
          <w:szCs w:val="24"/>
        </w:rPr>
      </w:pPr>
    </w:p>
    <w:p w:rsidR="006865A5" w:rsidRPr="006865A5" w:rsidRDefault="006865A5" w:rsidP="006865A5">
      <w:pPr>
        <w:pStyle w:val="Listaszerbekezds"/>
        <w:numPr>
          <w:ilvl w:val="0"/>
          <w:numId w:val="1"/>
        </w:numPr>
        <w:rPr>
          <w:sz w:val="24"/>
          <w:szCs w:val="24"/>
        </w:rPr>
      </w:pPr>
      <w:r w:rsidRPr="00E61CEF">
        <w:rPr>
          <w:b/>
          <w:bCs/>
          <w:sz w:val="24"/>
          <w:szCs w:val="24"/>
        </w:rPr>
        <w:t>Ingóság biztosítás nyaralóban önállóan</w:t>
      </w:r>
      <w:r w:rsidRPr="006865A5">
        <w:rPr>
          <w:sz w:val="24"/>
          <w:szCs w:val="24"/>
        </w:rPr>
        <w:t xml:space="preserve"> – üdülőnek használt többlakásos épületekben lehetőség van az Épület biztosítása nélkül csak az Ingóságot biztosítani. Ilyen esetben az Ingóság biztosítási összeg megadása mellett az Épület biztosítási </w:t>
      </w:r>
      <w:r w:rsidRPr="006865A5">
        <w:rPr>
          <w:sz w:val="24"/>
          <w:szCs w:val="24"/>
        </w:rPr>
        <w:lastRenderedPageBreak/>
        <w:t>összegét állítsátok 0 Ft-ra. Ez kizárólag a Nyaraló épülettípus kiválasztásánál működik így. A „</w:t>
      </w:r>
      <w:r w:rsidRPr="006865A5">
        <w:rPr>
          <w:i/>
          <w:iCs/>
          <w:sz w:val="24"/>
          <w:szCs w:val="24"/>
        </w:rPr>
        <w:t>Csak ingóság többlakásos épületekben”</w:t>
      </w:r>
      <w:r w:rsidRPr="006865A5">
        <w:rPr>
          <w:sz w:val="24"/>
          <w:szCs w:val="24"/>
        </w:rPr>
        <w:t xml:space="preserve"> csempe emellett továbbra is működik.</w:t>
      </w:r>
    </w:p>
    <w:p w:rsidR="006865A5" w:rsidRPr="006865A5" w:rsidRDefault="006865A5" w:rsidP="006865A5">
      <w:pPr>
        <w:pStyle w:val="Listaszerbekezds"/>
        <w:rPr>
          <w:sz w:val="24"/>
          <w:szCs w:val="24"/>
        </w:rPr>
      </w:pPr>
    </w:p>
    <w:p w:rsidR="00E61CEF" w:rsidRDefault="00E61CEF" w:rsidP="00E61CEF">
      <w:pPr>
        <w:ind w:left="360"/>
        <w:rPr>
          <w:b/>
          <w:bCs/>
          <w:sz w:val="24"/>
          <w:szCs w:val="24"/>
        </w:rPr>
      </w:pPr>
    </w:p>
    <w:p w:rsidR="006865A5" w:rsidRPr="00E61CEF" w:rsidRDefault="006865A5" w:rsidP="00E61CEF">
      <w:pPr>
        <w:ind w:left="360"/>
        <w:rPr>
          <w:sz w:val="24"/>
          <w:szCs w:val="24"/>
        </w:rPr>
      </w:pPr>
      <w:r w:rsidRPr="00E61CEF">
        <w:rPr>
          <w:b/>
          <w:bCs/>
          <w:sz w:val="24"/>
          <w:szCs w:val="24"/>
        </w:rPr>
        <w:t>Javasolt biztosítási összegek megemelése</w:t>
      </w:r>
      <w:r w:rsidRPr="00E61CEF">
        <w:rPr>
          <w:sz w:val="24"/>
          <w:szCs w:val="24"/>
        </w:rPr>
        <w:t xml:space="preserve"> – a termék indulása óta az építőipari munkadíjak és anyagok árának jelentősen meg nőttek ennek hatására az újraépítési négyzetméter árak is megemelkedtek, valamint a fogyasztási cikkek emelkedése miatt megemeltük a javasolt biztosítási összegeket. Épület esetében ez 20%-os emelkedés Ingóságesetében 10% az emelkedés mértéke. Továbbra is ellenőrizzétek a javasolt nm árat, hogy az valóban fedje az épület valós értékét.</w:t>
      </w:r>
    </w:p>
    <w:p w:rsidR="006865A5" w:rsidRPr="006865A5" w:rsidRDefault="006865A5" w:rsidP="006865A5">
      <w:pPr>
        <w:pStyle w:val="Listaszerbekezds"/>
        <w:rPr>
          <w:sz w:val="24"/>
          <w:szCs w:val="24"/>
        </w:rPr>
      </w:pPr>
    </w:p>
    <w:p w:rsidR="006865A5" w:rsidRDefault="006865A5" w:rsidP="006865A5">
      <w:pPr>
        <w:rPr>
          <w:sz w:val="24"/>
          <w:szCs w:val="24"/>
        </w:rPr>
      </w:pPr>
      <w:r w:rsidRPr="006865A5">
        <w:rPr>
          <w:sz w:val="24"/>
          <w:szCs w:val="24"/>
        </w:rPr>
        <w:t>Működés: az új tarifa és az új feltétel 2020.06.03. napján lép hatályba, így 2020.06.02-án készült kalkulációkra már a fenti módosítások és az új díjtarifa lesz érvényes. 2020.06.01. vagy ezt megelőző díjszámítások még a jelenlegi tarifa és szabályok szerint vannak érvényben.</w:t>
      </w:r>
    </w:p>
    <w:p w:rsidR="00A64A9E" w:rsidRDefault="00A64A9E" w:rsidP="006865A5">
      <w:pPr>
        <w:rPr>
          <w:sz w:val="24"/>
          <w:szCs w:val="24"/>
        </w:rPr>
      </w:pPr>
    </w:p>
    <w:p w:rsidR="00A64A9E" w:rsidRPr="006865A5" w:rsidRDefault="00A64A9E" w:rsidP="006865A5">
      <w:pPr>
        <w:rPr>
          <w:sz w:val="24"/>
          <w:szCs w:val="24"/>
        </w:rPr>
      </w:pPr>
    </w:p>
    <w:p w:rsidR="006865A5" w:rsidRPr="006865A5" w:rsidRDefault="006865A5" w:rsidP="006865A5">
      <w:pPr>
        <w:pStyle w:val="Listaszerbekezds"/>
        <w:rPr>
          <w:sz w:val="24"/>
          <w:szCs w:val="24"/>
        </w:rPr>
      </w:pPr>
    </w:p>
    <w:p w:rsidR="006865A5" w:rsidRPr="006865A5" w:rsidRDefault="006865A5" w:rsidP="006865A5">
      <w:pPr>
        <w:pStyle w:val="Listaszerbekezds"/>
        <w:rPr>
          <w:sz w:val="24"/>
          <w:szCs w:val="24"/>
        </w:rPr>
      </w:pPr>
    </w:p>
    <w:p w:rsidR="006865A5" w:rsidRDefault="006865A5" w:rsidP="006865A5"/>
    <w:p w:rsidR="006865A5" w:rsidRDefault="006865A5"/>
    <w:sectPr w:rsidR="00686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D4F3B"/>
    <w:multiLevelType w:val="hybridMultilevel"/>
    <w:tmpl w:val="F89AF432"/>
    <w:lvl w:ilvl="0" w:tplc="276CB360">
      <w:start w:val="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A5"/>
    <w:rsid w:val="00414773"/>
    <w:rsid w:val="006865A5"/>
    <w:rsid w:val="00A64A9E"/>
    <w:rsid w:val="00E61C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4888"/>
  <w15:chartTrackingRefBased/>
  <w15:docId w15:val="{26A7B4D8-1657-4DF0-9C02-91B5700E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865A5"/>
    <w:pPr>
      <w:ind w:left="720"/>
      <w:contextualSpacing/>
    </w:pPr>
  </w:style>
  <w:style w:type="table" w:styleId="Rcsostblzat">
    <w:name w:val="Table Grid"/>
    <w:basedOn w:val="Normltblzat"/>
    <w:uiPriority w:val="39"/>
    <w:rsid w:val="0068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2468</Characters>
  <Application>Microsoft Office Word</Application>
  <DocSecurity>4</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Csafordy</dc:creator>
  <cp:keywords/>
  <dc:description/>
  <cp:lastModifiedBy>Anett Feher-Nagy</cp:lastModifiedBy>
  <cp:revision>2</cp:revision>
  <dcterms:created xsi:type="dcterms:W3CDTF">2020-06-02T09:00:00Z</dcterms:created>
  <dcterms:modified xsi:type="dcterms:W3CDTF">2020-06-02T09:00:00Z</dcterms:modified>
</cp:coreProperties>
</file>