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47" w:rsidRPr="007C5488" w:rsidRDefault="00780A47" w:rsidP="00B335C9">
      <w:pPr>
        <w:pStyle w:val="Cm"/>
        <w:outlineLvl w:val="0"/>
        <w:rPr>
          <w:rFonts w:ascii="Bookman Old Style" w:hAnsi="Bookman Old Style" w:cs="Tahoma"/>
          <w:sz w:val="20"/>
          <w:lang w:val="hu-HU"/>
        </w:rPr>
      </w:pPr>
      <w:r w:rsidRPr="007C5488">
        <w:rPr>
          <w:rFonts w:ascii="Bookman Old Style" w:hAnsi="Bookman Old Style" w:cs="Tahoma"/>
          <w:sz w:val="20"/>
          <w:lang w:val="hu-HU"/>
        </w:rPr>
        <w:t>MEGBÍZÁS BIZTOSÍTÁSI ALKUSZI TEVÉKENYSÉGRE</w:t>
      </w:r>
    </w:p>
    <w:p w:rsidR="00AA4659" w:rsidRPr="00C1598C" w:rsidRDefault="00AA4659" w:rsidP="00C1598C">
      <w:pPr>
        <w:pStyle w:val="Alcm"/>
        <w:jc w:val="both"/>
        <w:outlineLvl w:val="0"/>
        <w:rPr>
          <w:rFonts w:ascii="Bookman Old Style" w:hAnsi="Bookman Old Style" w:cs="Tahoma"/>
          <w:b w:val="0"/>
          <w:sz w:val="24"/>
          <w:szCs w:val="24"/>
        </w:rPr>
      </w:pPr>
    </w:p>
    <w:p w:rsidR="00AA4659" w:rsidRPr="00C1598C" w:rsidRDefault="00AA4659" w:rsidP="00434BED">
      <w:pPr>
        <w:pStyle w:val="Alcm"/>
        <w:outlineLvl w:val="0"/>
        <w:rPr>
          <w:rFonts w:ascii="Bookman Old Style" w:hAnsi="Bookman Old Style" w:cs="Tahoma"/>
          <w:b w:val="0"/>
          <w:sz w:val="16"/>
          <w:szCs w:val="16"/>
        </w:rPr>
      </w:pPr>
    </w:p>
    <w:p w:rsidR="00780A47" w:rsidRPr="00C1598C" w:rsidRDefault="00780A47" w:rsidP="00812E90">
      <w:pPr>
        <w:pStyle w:val="Csakszveg"/>
        <w:numPr>
          <w:ilvl w:val="0"/>
          <w:numId w:val="17"/>
        </w:numPr>
        <w:tabs>
          <w:tab w:val="right" w:leader="dot" w:pos="10200"/>
        </w:tabs>
        <w:spacing w:after="80"/>
        <w:jc w:val="both"/>
        <w:rPr>
          <w:rFonts w:ascii="Bookman Old Style" w:hAnsi="Bookman Old Style" w:cs="Times New Roman"/>
          <w:sz w:val="16"/>
          <w:szCs w:val="16"/>
        </w:rPr>
      </w:pPr>
      <w:r w:rsidRPr="00C1598C">
        <w:rPr>
          <w:rFonts w:ascii="Bookman Old Style" w:hAnsi="Bookman Old Style" w:cs="Times New Roman"/>
          <w:sz w:val="16"/>
          <w:szCs w:val="16"/>
        </w:rPr>
        <w:t>Alulírott</w:t>
      </w:r>
      <w:r w:rsidR="00812E90" w:rsidRPr="00C1598C">
        <w:rPr>
          <w:rFonts w:ascii="Bookman Old Style" w:hAnsi="Bookman Old Style" w:cs="Times New Roman"/>
          <w:sz w:val="16"/>
          <w:szCs w:val="16"/>
        </w:rPr>
        <w:t xml:space="preserve"> </w:t>
      </w:r>
      <w:r w:rsidR="00632252" w:rsidRPr="00632252">
        <w:rPr>
          <w:rFonts w:ascii="Bookman Old Style" w:hAnsi="Bookman Old Style" w:cs="Times New Roman"/>
          <w:b/>
          <w:sz w:val="16"/>
          <w:szCs w:val="16"/>
        </w:rPr>
        <w:t>Fazekas Gáborné</w:t>
      </w:r>
      <w:r w:rsidR="00DE3B3E">
        <w:rPr>
          <w:rFonts w:ascii="Bookman Old Style" w:hAnsi="Bookman Old Style" w:cs="Times New Roman"/>
          <w:sz w:val="16"/>
          <w:szCs w:val="16"/>
        </w:rPr>
        <w:t xml:space="preserve"> (</w:t>
      </w:r>
      <w:r w:rsidR="00632252">
        <w:rPr>
          <w:rFonts w:ascii="Bookman Old Style" w:hAnsi="Bookman Old Style" w:cs="Times New Roman"/>
          <w:sz w:val="16"/>
          <w:szCs w:val="16"/>
        </w:rPr>
        <w:t>1021 Budapest, Fekete István u. 4. II/12, 1934. 01.11</w:t>
      </w:r>
      <w:r w:rsidR="0042781D">
        <w:rPr>
          <w:rFonts w:ascii="Bookman Old Style" w:hAnsi="Bookman Old Style" w:cs="Times New Roman"/>
          <w:sz w:val="16"/>
          <w:szCs w:val="16"/>
        </w:rPr>
        <w:t>.)</w:t>
      </w:r>
      <w:r w:rsidR="00DE3B3E">
        <w:rPr>
          <w:rFonts w:ascii="Bookman Old Style" w:hAnsi="Bookman Old Style" w:cs="Times New Roman"/>
          <w:sz w:val="16"/>
          <w:szCs w:val="16"/>
        </w:rPr>
        <w:t xml:space="preserve"> </w:t>
      </w:r>
      <w:r w:rsidRPr="00C1598C">
        <w:rPr>
          <w:rFonts w:ascii="Bookman Old Style" w:hAnsi="Bookman Old Style" w:cs="Times New Roman"/>
          <w:sz w:val="16"/>
          <w:szCs w:val="16"/>
        </w:rPr>
        <w:t xml:space="preserve">továbbiakban </w:t>
      </w:r>
      <w:r w:rsidRPr="00C1598C">
        <w:rPr>
          <w:rFonts w:ascii="Bookman Old Style" w:hAnsi="Bookman Old Style" w:cs="Times New Roman"/>
          <w:b/>
          <w:sz w:val="16"/>
          <w:szCs w:val="16"/>
        </w:rPr>
        <w:t>Megbízó</w:t>
      </w:r>
      <w:r w:rsidRPr="00C1598C">
        <w:rPr>
          <w:rFonts w:ascii="Bookman Old Style" w:hAnsi="Bookman Old Style" w:cs="Times New Roman"/>
          <w:sz w:val="16"/>
          <w:szCs w:val="16"/>
        </w:rPr>
        <w:t xml:space="preserve">, megbízza a Prezervál Biztosítási Alkusz Kft-t (11768373-2-13, 2021 Tahitótfalu, Gábor Áron u. 5.), továbbiakban, mint </w:t>
      </w:r>
      <w:r w:rsidRPr="00C1598C">
        <w:rPr>
          <w:rFonts w:ascii="Bookman Old Style" w:hAnsi="Bookman Old Style" w:cs="Times New Roman"/>
          <w:b/>
          <w:sz w:val="16"/>
          <w:szCs w:val="16"/>
        </w:rPr>
        <w:t>Megbízott</w:t>
      </w:r>
      <w:r w:rsidRPr="00C1598C">
        <w:rPr>
          <w:rFonts w:ascii="Bookman Old Style" w:hAnsi="Bookman Old Style" w:cs="Times New Roman"/>
          <w:sz w:val="16"/>
          <w:szCs w:val="16"/>
        </w:rPr>
        <w:t xml:space="preserve"> vagy </w:t>
      </w:r>
      <w:r w:rsidRPr="00C1598C">
        <w:rPr>
          <w:rFonts w:ascii="Bookman Old Style" w:hAnsi="Bookman Old Style" w:cs="Times New Roman"/>
          <w:b/>
          <w:sz w:val="16"/>
          <w:szCs w:val="16"/>
        </w:rPr>
        <w:t>Alkusz</w:t>
      </w:r>
      <w:r w:rsidRPr="00C1598C">
        <w:rPr>
          <w:rFonts w:ascii="Bookman Old Style" w:hAnsi="Bookman Old Style" w:cs="Times New Roman"/>
          <w:sz w:val="16"/>
          <w:szCs w:val="16"/>
        </w:rPr>
        <w:t>, hogy a Megbízó biztosítási ügyeiben, mint kizárólagos biztosítási alkusz járjon el.</w:t>
      </w:r>
    </w:p>
    <w:p w:rsidR="00780A47" w:rsidRPr="00C1598C" w:rsidRDefault="00780A47" w:rsidP="00DB7E59">
      <w:pPr>
        <w:pStyle w:val="normal1"/>
        <w:numPr>
          <w:ilvl w:val="0"/>
          <w:numId w:val="17"/>
        </w:numPr>
        <w:spacing w:after="80"/>
        <w:rPr>
          <w:rFonts w:ascii="Bookman Old Style" w:hAnsi="Bookman Old Style"/>
          <w:sz w:val="16"/>
          <w:szCs w:val="16"/>
          <w:lang w:val="hu-HU"/>
        </w:rPr>
      </w:pPr>
      <w:r w:rsidRPr="00C1598C">
        <w:rPr>
          <w:rFonts w:ascii="Bookman Old Style" w:hAnsi="Bookman Old Style"/>
          <w:sz w:val="16"/>
          <w:szCs w:val="16"/>
          <w:lang w:val="hu-HU"/>
        </w:rPr>
        <w:t>A Megbízás a Megbízó biztosításainak megkötésére, ápolására, biztosítási ügyeinek intézésére szól</w:t>
      </w:r>
    </w:p>
    <w:p w:rsidR="00780A47" w:rsidRPr="00C1598C" w:rsidRDefault="00780A47" w:rsidP="00DB7E59">
      <w:pPr>
        <w:numPr>
          <w:ilvl w:val="0"/>
          <w:numId w:val="17"/>
        </w:numPr>
        <w:rPr>
          <w:rFonts w:ascii="Bookman Old Style" w:hAnsi="Bookman Old Style"/>
          <w:sz w:val="16"/>
          <w:szCs w:val="16"/>
        </w:rPr>
      </w:pPr>
      <w:r w:rsidRPr="00C1598C">
        <w:rPr>
          <w:rFonts w:ascii="Bookman Old Style" w:hAnsi="Bookman Old Style"/>
          <w:sz w:val="16"/>
          <w:szCs w:val="16"/>
        </w:rPr>
        <w:t>A Megbízás tartalmilag kiterjed az alábbi tevékenységekre:</w:t>
      </w:r>
    </w:p>
    <w:p w:rsidR="00780A47" w:rsidRPr="00C1598C" w:rsidRDefault="00780A47" w:rsidP="00DB7E59">
      <w:pPr>
        <w:numPr>
          <w:ilvl w:val="1"/>
          <w:numId w:val="17"/>
        </w:numPr>
        <w:rPr>
          <w:rFonts w:ascii="Bookman Old Style" w:hAnsi="Bookman Old Style"/>
          <w:sz w:val="16"/>
          <w:szCs w:val="16"/>
        </w:rPr>
      </w:pPr>
      <w:r w:rsidRPr="00C1598C">
        <w:rPr>
          <w:rFonts w:ascii="Bookman Old Style" w:hAnsi="Bookman Old Style"/>
          <w:sz w:val="16"/>
          <w:szCs w:val="16"/>
        </w:rPr>
        <w:t>a Megbízó meglévő biztosítási szerződéseinek kezelése, karbantartása, felülvizsgálása</w:t>
      </w:r>
      <w:r w:rsidRPr="00C1598C">
        <w:rPr>
          <w:rFonts w:ascii="Bookman Old Style" w:hAnsi="Bookman Old Style"/>
          <w:b/>
          <w:sz w:val="16"/>
          <w:szCs w:val="16"/>
        </w:rPr>
        <w:t xml:space="preserve"> </w:t>
      </w:r>
      <w:r w:rsidRPr="00C1598C">
        <w:rPr>
          <w:rFonts w:ascii="Bookman Old Style" w:hAnsi="Bookman Old Style"/>
          <w:sz w:val="16"/>
          <w:szCs w:val="16"/>
        </w:rPr>
        <w:t>és az esetlegesen szükséges módosításokra vonatkozó javaslatok kidolgozása</w:t>
      </w:r>
      <w:r w:rsidR="00837AF5">
        <w:rPr>
          <w:rFonts w:ascii="Bookman Old Style" w:hAnsi="Bookman Old Style"/>
          <w:sz w:val="16"/>
          <w:szCs w:val="16"/>
        </w:rPr>
        <w:t xml:space="preserve">, </w:t>
      </w:r>
      <w:r w:rsidR="007C5488">
        <w:rPr>
          <w:rFonts w:ascii="Bookman Old Style" w:hAnsi="Bookman Old Style"/>
          <w:sz w:val="16"/>
          <w:szCs w:val="16"/>
        </w:rPr>
        <w:t xml:space="preserve">igényelt </w:t>
      </w:r>
      <w:r w:rsidR="00837AF5">
        <w:rPr>
          <w:rFonts w:ascii="Bookman Old Style" w:hAnsi="Bookman Old Style"/>
          <w:sz w:val="16"/>
          <w:szCs w:val="16"/>
        </w:rPr>
        <w:t>új ajánlatok elkészítése, átadása</w:t>
      </w:r>
      <w:r w:rsidRPr="00C1598C">
        <w:rPr>
          <w:rFonts w:ascii="Bookman Old Style" w:hAnsi="Bookman Old Style"/>
          <w:sz w:val="16"/>
          <w:szCs w:val="16"/>
        </w:rPr>
        <w:t>;</w:t>
      </w:r>
    </w:p>
    <w:p w:rsidR="00780A47" w:rsidRPr="00837AF5" w:rsidRDefault="00780A47" w:rsidP="00DB7E59">
      <w:pPr>
        <w:numPr>
          <w:ilvl w:val="1"/>
          <w:numId w:val="17"/>
        </w:numPr>
        <w:rPr>
          <w:rFonts w:ascii="Bookman Old Style" w:hAnsi="Bookman Old Style"/>
          <w:sz w:val="16"/>
          <w:szCs w:val="16"/>
        </w:rPr>
      </w:pPr>
      <w:r w:rsidRPr="00837AF5">
        <w:rPr>
          <w:rFonts w:ascii="Bookman Old Style" w:hAnsi="Bookman Old Style"/>
          <w:sz w:val="16"/>
          <w:szCs w:val="16"/>
        </w:rPr>
        <w:t>a felmerülő új biztosítási igények</w:t>
      </w:r>
      <w:r w:rsidR="00837AF5" w:rsidRPr="00837AF5">
        <w:rPr>
          <w:rFonts w:ascii="Bookman Old Style" w:hAnsi="Bookman Old Style"/>
          <w:sz w:val="16"/>
          <w:szCs w:val="16"/>
        </w:rPr>
        <w:t>, szükségletek felmérése,</w:t>
      </w:r>
      <w:r w:rsidRPr="00837AF5">
        <w:rPr>
          <w:rFonts w:ascii="Bookman Old Style" w:hAnsi="Bookman Old Style"/>
          <w:sz w:val="16"/>
          <w:szCs w:val="16"/>
        </w:rPr>
        <w:t xml:space="preserve"> szakszerű megfogalmazása</w:t>
      </w:r>
      <w:r w:rsidR="00837AF5" w:rsidRPr="00837AF5">
        <w:rPr>
          <w:rFonts w:ascii="Bookman Old Style" w:hAnsi="Bookman Old Style"/>
          <w:sz w:val="16"/>
          <w:szCs w:val="16"/>
        </w:rPr>
        <w:t xml:space="preserve">, termékismertetők, általános, és különös feltételek átadása, </w:t>
      </w:r>
      <w:r w:rsidRPr="00837AF5">
        <w:rPr>
          <w:rFonts w:ascii="Bookman Old Style" w:hAnsi="Bookman Old Style"/>
          <w:sz w:val="16"/>
          <w:szCs w:val="16"/>
        </w:rPr>
        <w:t>az új biztosítások megkötésének előkészítése</w:t>
      </w:r>
      <w:r w:rsidR="007C5488">
        <w:rPr>
          <w:rFonts w:ascii="Bookman Old Style" w:hAnsi="Bookman Old Style"/>
          <w:sz w:val="16"/>
          <w:szCs w:val="16"/>
        </w:rPr>
        <w:t>, megfelelő számú ajánlat bekérése</w:t>
      </w:r>
      <w:r w:rsidRPr="00837AF5">
        <w:rPr>
          <w:rFonts w:ascii="Bookman Old Style" w:hAnsi="Bookman Old Style"/>
          <w:sz w:val="16"/>
          <w:szCs w:val="16"/>
        </w:rPr>
        <w:t>;</w:t>
      </w:r>
    </w:p>
    <w:p w:rsidR="00780A47" w:rsidRPr="00C1598C" w:rsidRDefault="00780A47" w:rsidP="00DB7E59">
      <w:pPr>
        <w:numPr>
          <w:ilvl w:val="1"/>
          <w:numId w:val="17"/>
        </w:numPr>
        <w:rPr>
          <w:rFonts w:ascii="Bookman Old Style" w:hAnsi="Bookman Old Style"/>
          <w:sz w:val="16"/>
          <w:szCs w:val="16"/>
        </w:rPr>
      </w:pPr>
      <w:r w:rsidRPr="00C1598C">
        <w:rPr>
          <w:rFonts w:ascii="Bookman Old Style" w:hAnsi="Bookman Old Style"/>
          <w:sz w:val="16"/>
          <w:szCs w:val="16"/>
        </w:rPr>
        <w:t>a biztosítási fedezet megszervezése a biztosítók versenyeztetésével;</w:t>
      </w:r>
    </w:p>
    <w:p w:rsidR="00780A47" w:rsidRPr="00C1598C" w:rsidRDefault="00780A47" w:rsidP="00DB7E59">
      <w:pPr>
        <w:numPr>
          <w:ilvl w:val="1"/>
          <w:numId w:val="17"/>
        </w:numPr>
        <w:rPr>
          <w:rFonts w:ascii="Bookman Old Style" w:hAnsi="Bookman Old Style"/>
          <w:sz w:val="16"/>
          <w:szCs w:val="16"/>
        </w:rPr>
      </w:pPr>
      <w:r w:rsidRPr="00C1598C">
        <w:rPr>
          <w:rFonts w:ascii="Bookman Old Style" w:hAnsi="Bookman Old Style"/>
          <w:sz w:val="16"/>
          <w:szCs w:val="16"/>
        </w:rPr>
        <w:t>a biztosítók által adott ajánlatok elemzése az ajánlatban feltüntetett szolgáltatások, feltételek, záradékok, bonusz-rendszerek, részletfizetési kedvezmények, díjak figyelembevételével és ezek egyeztetése a Megbízó igényeivel;</w:t>
      </w:r>
    </w:p>
    <w:p w:rsidR="00780A47" w:rsidRPr="00C1598C" w:rsidRDefault="00780A47" w:rsidP="00DB7E59">
      <w:pPr>
        <w:numPr>
          <w:ilvl w:val="1"/>
          <w:numId w:val="17"/>
        </w:numPr>
        <w:rPr>
          <w:rFonts w:ascii="Bookman Old Style" w:hAnsi="Bookman Old Style"/>
          <w:sz w:val="16"/>
          <w:szCs w:val="16"/>
        </w:rPr>
      </w:pPr>
      <w:r w:rsidRPr="00C1598C">
        <w:rPr>
          <w:rFonts w:ascii="Bookman Old Style" w:hAnsi="Bookman Old Style"/>
          <w:sz w:val="16"/>
          <w:szCs w:val="16"/>
        </w:rPr>
        <w:t>a Megbízóval egyeztetett értékelési szempontok alapján az optimális biztosítási portfolió kialakítása;</w:t>
      </w:r>
    </w:p>
    <w:p w:rsidR="00780A47" w:rsidRPr="00C1598C" w:rsidRDefault="00780A47" w:rsidP="00A870A3">
      <w:pPr>
        <w:pStyle w:val="NormlWeb"/>
        <w:numPr>
          <w:ilvl w:val="1"/>
          <w:numId w:val="17"/>
        </w:numPr>
        <w:spacing w:before="0" w:beforeAutospacing="0" w:after="0" w:afterAutospacing="0"/>
        <w:jc w:val="both"/>
        <w:textAlignment w:val="baseline"/>
        <w:rPr>
          <w:rFonts w:ascii="Bookman Old Style" w:hAnsi="Bookman Old Style" w:cs="Arial"/>
          <w:color w:val="000000"/>
          <w:sz w:val="16"/>
          <w:szCs w:val="16"/>
        </w:rPr>
      </w:pPr>
      <w:r w:rsidRPr="00C1598C">
        <w:rPr>
          <w:rFonts w:ascii="Bookman Old Style" w:hAnsi="Bookman Old Style" w:cs="Arial"/>
          <w:color w:val="000000"/>
          <w:sz w:val="16"/>
          <w:szCs w:val="16"/>
        </w:rPr>
        <w:t>a Megbízó jóváhagyása után a biztosítási szerződés megkötése a kiválasztott biztosítóval (esetleg több biztosítóval). A</w:t>
      </w:r>
      <w:r w:rsidRPr="00C1598C">
        <w:rPr>
          <w:rFonts w:ascii="Bookman Old Style" w:hAnsi="Bookman Old Style" w:cs="Arial"/>
          <w:b/>
          <w:color w:val="000000"/>
          <w:sz w:val="16"/>
          <w:szCs w:val="16"/>
        </w:rPr>
        <w:t xml:space="preserve"> </w:t>
      </w:r>
      <w:r w:rsidRPr="00C1598C">
        <w:rPr>
          <w:rFonts w:ascii="Bookman Old Style" w:hAnsi="Bookman Old Style" w:cs="Arial"/>
          <w:color w:val="000000"/>
          <w:sz w:val="16"/>
          <w:szCs w:val="16"/>
        </w:rPr>
        <w:t>Megbízó jóváhagyásával, előzetes egyeztetés után, Megbízó nevében és helyette, az esedékes felmondást, valamint az új szerződést a Megbízó helyett aláírhassa;</w:t>
      </w:r>
    </w:p>
    <w:p w:rsidR="00780A47" w:rsidRPr="007C5488" w:rsidRDefault="00780A47" w:rsidP="00DB7E59">
      <w:pPr>
        <w:numPr>
          <w:ilvl w:val="1"/>
          <w:numId w:val="17"/>
        </w:numPr>
        <w:rPr>
          <w:rFonts w:ascii="Bookman Old Style" w:hAnsi="Bookman Old Style"/>
          <w:sz w:val="16"/>
          <w:szCs w:val="16"/>
        </w:rPr>
      </w:pPr>
      <w:r w:rsidRPr="007C5488">
        <w:rPr>
          <w:rFonts w:ascii="Bookman Old Style" w:hAnsi="Bookman Old Style"/>
          <w:sz w:val="16"/>
          <w:szCs w:val="16"/>
        </w:rPr>
        <w:t xml:space="preserve">káresemény alkalmával felvilágosítás </w:t>
      </w:r>
      <w:r w:rsidR="007C5488" w:rsidRPr="007C5488">
        <w:rPr>
          <w:rFonts w:ascii="Bookman Old Style" w:hAnsi="Bookman Old Style"/>
          <w:sz w:val="16"/>
          <w:szCs w:val="16"/>
        </w:rPr>
        <w:t xml:space="preserve">nyújtása a követendő eljárásról, </w:t>
      </w:r>
      <w:r w:rsidRPr="007C5488">
        <w:rPr>
          <w:rFonts w:ascii="Bookman Old Style" w:hAnsi="Bookman Old Style"/>
          <w:sz w:val="16"/>
          <w:szCs w:val="16"/>
        </w:rPr>
        <w:t>kárrendezés során közreműködés és a kárügyek rendezésének figyelemmel kísérése;</w:t>
      </w:r>
    </w:p>
    <w:p w:rsidR="00780A47" w:rsidRPr="00C1598C" w:rsidRDefault="00780A47" w:rsidP="00DB7E59">
      <w:pPr>
        <w:numPr>
          <w:ilvl w:val="1"/>
          <w:numId w:val="17"/>
        </w:numPr>
        <w:rPr>
          <w:rFonts w:ascii="Bookman Old Style" w:hAnsi="Bookman Old Style"/>
          <w:sz w:val="16"/>
          <w:szCs w:val="16"/>
        </w:rPr>
      </w:pPr>
      <w:r w:rsidRPr="00C1598C">
        <w:rPr>
          <w:rFonts w:ascii="Bookman Old Style" w:hAnsi="Bookman Old Style"/>
          <w:sz w:val="16"/>
          <w:szCs w:val="16"/>
        </w:rPr>
        <w:t>a megbízás alapján az Alkusz rendelkezik a kárstatisztika és a kárlista megismerésére vonatkozózó felhatalmazással;</w:t>
      </w:r>
    </w:p>
    <w:p w:rsidR="00780A47" w:rsidRPr="00C1598C" w:rsidRDefault="00780A47" w:rsidP="00DB7E59">
      <w:pPr>
        <w:numPr>
          <w:ilvl w:val="1"/>
          <w:numId w:val="17"/>
        </w:numPr>
        <w:rPr>
          <w:rFonts w:ascii="Bookman Old Style" w:hAnsi="Bookman Old Style"/>
          <w:sz w:val="16"/>
          <w:szCs w:val="16"/>
        </w:rPr>
      </w:pPr>
      <w:r w:rsidRPr="00C1598C">
        <w:rPr>
          <w:rFonts w:ascii="Bookman Old Style" w:hAnsi="Bookman Old Style"/>
          <w:sz w:val="16"/>
          <w:szCs w:val="16"/>
        </w:rPr>
        <w:t>az esedékességkori díjfizetés rendjének</w:t>
      </w:r>
      <w:r w:rsidR="007C5488">
        <w:rPr>
          <w:rFonts w:ascii="Bookman Old Style" w:hAnsi="Bookman Old Style"/>
          <w:sz w:val="16"/>
          <w:szCs w:val="16"/>
        </w:rPr>
        <w:t>, lehetőség szerinti</w:t>
      </w:r>
      <w:r w:rsidRPr="00C1598C">
        <w:rPr>
          <w:rFonts w:ascii="Bookman Old Style" w:hAnsi="Bookman Old Style"/>
          <w:sz w:val="16"/>
          <w:szCs w:val="16"/>
        </w:rPr>
        <w:t xml:space="preserve"> figyelemmel kísérése;</w:t>
      </w:r>
    </w:p>
    <w:p w:rsidR="00780A47" w:rsidRPr="00C1598C" w:rsidRDefault="00780A47" w:rsidP="00DB7E59">
      <w:pPr>
        <w:numPr>
          <w:ilvl w:val="1"/>
          <w:numId w:val="17"/>
        </w:numPr>
        <w:rPr>
          <w:rFonts w:ascii="Bookman Old Style" w:hAnsi="Bookman Old Style"/>
          <w:sz w:val="16"/>
          <w:szCs w:val="16"/>
        </w:rPr>
      </w:pPr>
      <w:r w:rsidRPr="00C1598C">
        <w:rPr>
          <w:rFonts w:ascii="Bookman Old Style" w:hAnsi="Bookman Old Style"/>
          <w:sz w:val="16"/>
          <w:szCs w:val="16"/>
        </w:rPr>
        <w:t>a Megbízó tájékoztatása a biztosítási piacon felmerülő új lehetőségekről;</w:t>
      </w:r>
    </w:p>
    <w:p w:rsidR="00780A47" w:rsidRPr="00C1598C" w:rsidRDefault="00780A47" w:rsidP="00DB7E59">
      <w:pPr>
        <w:pStyle w:val="normal1"/>
        <w:numPr>
          <w:ilvl w:val="1"/>
          <w:numId w:val="17"/>
        </w:numPr>
        <w:spacing w:after="0"/>
        <w:rPr>
          <w:rFonts w:ascii="Bookman Old Style" w:hAnsi="Bookman Old Style"/>
          <w:sz w:val="16"/>
          <w:szCs w:val="16"/>
          <w:lang w:val="hu-HU"/>
        </w:rPr>
      </w:pPr>
      <w:r w:rsidRPr="00C1598C">
        <w:rPr>
          <w:rFonts w:ascii="Bookman Old Style" w:hAnsi="Bookman Old Style"/>
          <w:sz w:val="16"/>
          <w:szCs w:val="16"/>
          <w:lang w:val="hu-HU"/>
        </w:rPr>
        <w:t xml:space="preserve">a Megbízó személyes okmányainak – az adatvédelmi előírások betartásával történő – </w:t>
      </w:r>
      <w:r w:rsidR="00846DA3">
        <w:rPr>
          <w:rFonts w:ascii="Bookman Old Style" w:hAnsi="Bookman Old Style"/>
          <w:sz w:val="16"/>
          <w:szCs w:val="16"/>
          <w:lang w:val="hu-HU"/>
        </w:rPr>
        <w:t xml:space="preserve">kezelése, </w:t>
      </w:r>
      <w:r w:rsidRPr="00C1598C">
        <w:rPr>
          <w:rFonts w:ascii="Bookman Old Style" w:hAnsi="Bookman Old Style"/>
          <w:sz w:val="16"/>
          <w:szCs w:val="16"/>
          <w:lang w:val="hu-HU"/>
        </w:rPr>
        <w:t>tárolása, megőrzése;</w:t>
      </w:r>
    </w:p>
    <w:p w:rsidR="00780A47" w:rsidRPr="00C1598C" w:rsidRDefault="00780A47" w:rsidP="00DB7E59">
      <w:pPr>
        <w:pStyle w:val="normal1"/>
        <w:numPr>
          <w:ilvl w:val="1"/>
          <w:numId w:val="17"/>
        </w:numPr>
        <w:spacing w:after="0"/>
        <w:rPr>
          <w:rFonts w:ascii="Bookman Old Style" w:hAnsi="Bookman Old Style"/>
          <w:sz w:val="16"/>
          <w:szCs w:val="16"/>
          <w:lang w:val="hu-HU"/>
        </w:rPr>
      </w:pPr>
      <w:r w:rsidRPr="00C1598C">
        <w:rPr>
          <w:rFonts w:ascii="Bookman Old Style" w:hAnsi="Bookman Old Style"/>
          <w:sz w:val="16"/>
          <w:szCs w:val="16"/>
          <w:lang w:val="hu-HU"/>
        </w:rPr>
        <w:t>a Megbízó jóváhagyásával, előzetes egyeztetést követően, Megbízó biztosítási ügyeiben helyett és nevében, a Megbízott eljárhasson, biztosítási dokumentumokat aláírhasson</w:t>
      </w:r>
      <w:proofErr w:type="gramStart"/>
      <w:r w:rsidRPr="00C1598C">
        <w:rPr>
          <w:rFonts w:ascii="Bookman Old Style" w:hAnsi="Bookman Old Style"/>
          <w:sz w:val="16"/>
          <w:szCs w:val="16"/>
          <w:lang w:val="hu-HU"/>
        </w:rPr>
        <w:t>;a</w:t>
      </w:r>
      <w:proofErr w:type="gramEnd"/>
      <w:r w:rsidRPr="00C1598C">
        <w:rPr>
          <w:rFonts w:ascii="Bookman Old Style" w:hAnsi="Bookman Old Style"/>
          <w:sz w:val="16"/>
          <w:szCs w:val="16"/>
          <w:lang w:val="hu-HU"/>
        </w:rPr>
        <w:t xml:space="preserve"> biztosító direkt úton nem keresheti meg a Megbízót, bármilyen telefoni, e-mail vagy promóciós megkeresés csak a Megbízotton keresztül történhet;</w:t>
      </w:r>
    </w:p>
    <w:p w:rsidR="00780A47" w:rsidRPr="00C1598C" w:rsidRDefault="00780A47" w:rsidP="00DB7E59">
      <w:pPr>
        <w:pStyle w:val="normal1"/>
        <w:numPr>
          <w:ilvl w:val="1"/>
          <w:numId w:val="17"/>
        </w:numPr>
        <w:spacing w:after="0"/>
        <w:rPr>
          <w:rFonts w:ascii="Bookman Old Style" w:hAnsi="Bookman Old Style"/>
          <w:sz w:val="16"/>
          <w:szCs w:val="16"/>
          <w:lang w:val="hu-HU"/>
        </w:rPr>
      </w:pPr>
      <w:r w:rsidRPr="00C1598C">
        <w:rPr>
          <w:rFonts w:ascii="Bookman Old Style" w:hAnsi="Bookman Old Style"/>
          <w:sz w:val="16"/>
          <w:szCs w:val="16"/>
          <w:lang w:val="hu-HU"/>
        </w:rPr>
        <w:t>Megbízó hozzájárul, hogy az Alkusz az elektronikus kapcsolattartáshoz az ajánlatokon saját telefonszámát és e-mail címét adja meg a biztosító felé;</w:t>
      </w:r>
    </w:p>
    <w:p w:rsidR="00780A47" w:rsidRPr="00C1598C" w:rsidRDefault="00780A47" w:rsidP="00DB7E59">
      <w:pPr>
        <w:pStyle w:val="normal1"/>
        <w:numPr>
          <w:ilvl w:val="1"/>
          <w:numId w:val="17"/>
        </w:numPr>
        <w:spacing w:after="80"/>
        <w:ind w:left="738" w:hanging="369"/>
        <w:rPr>
          <w:rFonts w:ascii="Bookman Old Style" w:hAnsi="Bookman Old Style"/>
          <w:sz w:val="16"/>
          <w:szCs w:val="16"/>
          <w:lang w:val="hu-HU"/>
        </w:rPr>
      </w:pPr>
      <w:r w:rsidRPr="00C1598C">
        <w:rPr>
          <w:rFonts w:ascii="Bookman Old Style" w:hAnsi="Bookman Old Style"/>
          <w:sz w:val="16"/>
          <w:szCs w:val="16"/>
          <w:lang w:val="hu-HU"/>
        </w:rPr>
        <w:t>a Megbízó vállalja az előzőleg más biztosításközvetítőnek tett megbízásának (megbízási szerződésének) jelen megbízással egyidejű, vagy ezt megelőző időponti, írásbeli visszavonását.</w:t>
      </w:r>
    </w:p>
    <w:p w:rsidR="00780A47" w:rsidRPr="00C1598C" w:rsidRDefault="00780A47" w:rsidP="00DB7E59">
      <w:pPr>
        <w:pStyle w:val="normal1"/>
        <w:numPr>
          <w:ilvl w:val="0"/>
          <w:numId w:val="18"/>
        </w:numPr>
        <w:spacing w:after="80"/>
        <w:rPr>
          <w:rFonts w:ascii="Bookman Old Style" w:hAnsi="Bookman Old Style"/>
          <w:sz w:val="16"/>
          <w:szCs w:val="16"/>
          <w:lang w:val="hu-HU"/>
        </w:rPr>
      </w:pPr>
      <w:r w:rsidRPr="00C1598C">
        <w:rPr>
          <w:rFonts w:ascii="Bookman Old Style" w:hAnsi="Bookman Old Style"/>
          <w:sz w:val="16"/>
          <w:szCs w:val="16"/>
          <w:lang w:val="hu-HU"/>
        </w:rPr>
        <w:t>Az Alkusz a Megbízó érdekét képviselve jár el a fenti ügyekben.</w:t>
      </w:r>
    </w:p>
    <w:p w:rsidR="008B4059" w:rsidRPr="00C1598C" w:rsidRDefault="008B4059" w:rsidP="00DB7E59">
      <w:pPr>
        <w:pStyle w:val="normal1"/>
        <w:numPr>
          <w:ilvl w:val="0"/>
          <w:numId w:val="18"/>
        </w:numPr>
        <w:spacing w:after="80"/>
        <w:rPr>
          <w:rFonts w:ascii="Bookman Old Style" w:hAnsi="Bookman Old Style"/>
          <w:sz w:val="16"/>
          <w:szCs w:val="16"/>
          <w:lang w:val="hu-HU"/>
        </w:rPr>
      </w:pPr>
      <w:r w:rsidRPr="00C1598C">
        <w:rPr>
          <w:rFonts w:ascii="Bookman Old Style" w:hAnsi="Bookman Old Style" w:cs="Arial"/>
          <w:iCs/>
          <w:color w:val="000000"/>
          <w:sz w:val="16"/>
          <w:szCs w:val="16"/>
          <w:shd w:val="clear" w:color="auto" w:fill="FFFFFF"/>
          <w:lang w:val="hu-HU"/>
        </w:rPr>
        <w:t>Megbízó kijelenti, hogy az általa megadott adatok megfelelnek a valóságnak és azok változásáról tájékoztatási kötelezettséggel rendelkezik az Alkusz felé. Megbízó, egyúttal, tudomásul veszi, hogy az általa átadott hibás és/vagy hiányos adatszolgáltatásból eredő károkért az Alkuszt nem terheli felelősség.</w:t>
      </w:r>
      <w:r w:rsidR="00596323">
        <w:rPr>
          <w:rFonts w:ascii="Bookman Old Style" w:hAnsi="Bookman Old Style" w:cs="Arial"/>
          <w:iCs/>
          <w:color w:val="000000"/>
          <w:sz w:val="16"/>
          <w:szCs w:val="16"/>
          <w:shd w:val="clear" w:color="auto" w:fill="FFFFFF"/>
          <w:lang w:val="hu-HU"/>
        </w:rPr>
        <w:t xml:space="preserve"> Elfogadott tájékoztatási formák: személyes, telefonos, fax, postai, e-mail. A közösségi médiák</w:t>
      </w:r>
      <w:r w:rsidR="00A34D58">
        <w:rPr>
          <w:rFonts w:ascii="Bookman Old Style" w:hAnsi="Bookman Old Style" w:cs="Arial"/>
          <w:iCs/>
          <w:color w:val="000000"/>
          <w:sz w:val="16"/>
          <w:szCs w:val="16"/>
          <w:shd w:val="clear" w:color="auto" w:fill="FFFFFF"/>
          <w:lang w:val="hu-HU"/>
        </w:rPr>
        <w:t>on</w:t>
      </w:r>
      <w:r w:rsidR="00596323">
        <w:rPr>
          <w:rFonts w:ascii="Bookman Old Style" w:hAnsi="Bookman Old Style" w:cs="Arial"/>
          <w:iCs/>
          <w:color w:val="000000"/>
          <w:sz w:val="16"/>
          <w:szCs w:val="16"/>
          <w:shd w:val="clear" w:color="auto" w:fill="FFFFFF"/>
          <w:lang w:val="hu-HU"/>
        </w:rPr>
        <w:t xml:space="preserve">, és az üzenetküldő felületeken </w:t>
      </w:r>
      <w:r w:rsidR="000846E3">
        <w:rPr>
          <w:rFonts w:ascii="Bookman Old Style" w:hAnsi="Bookman Old Style" w:cs="Arial"/>
          <w:iCs/>
          <w:color w:val="000000"/>
          <w:sz w:val="16"/>
          <w:szCs w:val="16"/>
          <w:shd w:val="clear" w:color="auto" w:fill="FFFFFF"/>
          <w:lang w:val="hu-HU"/>
        </w:rPr>
        <w:t xml:space="preserve">(e-mail kivételével) </w:t>
      </w:r>
      <w:r w:rsidR="00596323">
        <w:rPr>
          <w:rFonts w:ascii="Bookman Old Style" w:hAnsi="Bookman Old Style" w:cs="Arial"/>
          <w:iCs/>
          <w:color w:val="000000"/>
          <w:sz w:val="16"/>
          <w:szCs w:val="16"/>
          <w:shd w:val="clear" w:color="auto" w:fill="FFFFFF"/>
          <w:lang w:val="hu-HU"/>
        </w:rPr>
        <w:t>tett tájékoztatás nem hivatalos.</w:t>
      </w:r>
    </w:p>
    <w:p w:rsidR="00780A47" w:rsidRPr="00C1598C" w:rsidRDefault="00780A47" w:rsidP="00DB7E59">
      <w:pPr>
        <w:pStyle w:val="normal1"/>
        <w:numPr>
          <w:ilvl w:val="0"/>
          <w:numId w:val="18"/>
        </w:numPr>
        <w:spacing w:after="80"/>
        <w:rPr>
          <w:rFonts w:ascii="Bookman Old Style" w:hAnsi="Bookman Old Style"/>
          <w:sz w:val="16"/>
          <w:szCs w:val="16"/>
          <w:lang w:val="hu-HU"/>
        </w:rPr>
      </w:pPr>
      <w:r w:rsidRPr="00C1598C">
        <w:rPr>
          <w:rFonts w:ascii="Bookman Old Style" w:hAnsi="Bookman Old Style"/>
          <w:sz w:val="16"/>
          <w:szCs w:val="16"/>
          <w:lang w:val="hu-HU"/>
        </w:rPr>
        <w:t>Alkusz a bruttódíjas biztosítások közvetítésével és a díjak rendezésével kapcsolatos feladatok ellátásáért díjat nem számít fel.</w:t>
      </w:r>
    </w:p>
    <w:p w:rsidR="00780A47" w:rsidRPr="00C1598C" w:rsidRDefault="00780A47" w:rsidP="00DB7E59">
      <w:pPr>
        <w:pStyle w:val="normal1"/>
        <w:numPr>
          <w:ilvl w:val="0"/>
          <w:numId w:val="18"/>
        </w:numPr>
        <w:spacing w:after="80"/>
        <w:rPr>
          <w:rFonts w:ascii="Bookman Old Style" w:hAnsi="Bookman Old Style"/>
          <w:sz w:val="16"/>
          <w:szCs w:val="16"/>
          <w:lang w:val="hu-HU"/>
        </w:rPr>
      </w:pPr>
      <w:r w:rsidRPr="00C1598C">
        <w:rPr>
          <w:rFonts w:ascii="Bookman Old Style" w:hAnsi="Bookman Old Style"/>
          <w:sz w:val="16"/>
          <w:szCs w:val="16"/>
          <w:lang w:val="hu-HU"/>
        </w:rPr>
        <w:t>A Megbízó</w:t>
      </w:r>
      <w:r w:rsidR="00C622A3" w:rsidRPr="00C1598C">
        <w:rPr>
          <w:rFonts w:ascii="Bookman Old Style" w:hAnsi="Bookman Old Style"/>
          <w:sz w:val="16"/>
          <w:szCs w:val="16"/>
          <w:lang w:val="hu-HU"/>
        </w:rPr>
        <w:t xml:space="preserve">, </w:t>
      </w:r>
      <w:r w:rsidR="00AB2191" w:rsidRPr="00C1598C">
        <w:rPr>
          <w:rFonts w:ascii="Bookman Old Style" w:hAnsi="Bookman Old Style"/>
          <w:sz w:val="16"/>
          <w:szCs w:val="16"/>
          <w:lang w:val="hu-HU"/>
        </w:rPr>
        <w:t>(a Prezervál Kft</w:t>
      </w:r>
      <w:r w:rsidR="00C622A3" w:rsidRPr="00C1598C">
        <w:rPr>
          <w:rFonts w:ascii="Bookman Old Style" w:hAnsi="Bookman Old Style"/>
          <w:sz w:val="16"/>
          <w:szCs w:val="16"/>
          <w:lang w:val="hu-HU"/>
        </w:rPr>
        <w:t xml:space="preserve">, mint közvetítő, kiiktatásával) </w:t>
      </w:r>
      <w:r w:rsidR="009D0B4C" w:rsidRPr="00C1598C">
        <w:rPr>
          <w:rFonts w:ascii="Bookman Old Style" w:hAnsi="Bookman Old Style"/>
          <w:sz w:val="16"/>
          <w:szCs w:val="16"/>
          <w:lang w:val="hu-HU"/>
        </w:rPr>
        <w:t xml:space="preserve">közvetlenül </w:t>
      </w:r>
      <w:r w:rsidRPr="00C1598C">
        <w:rPr>
          <w:rFonts w:ascii="Bookman Old Style" w:hAnsi="Bookman Old Style"/>
          <w:sz w:val="16"/>
          <w:szCs w:val="16"/>
          <w:lang w:val="hu-HU"/>
        </w:rPr>
        <w:t xml:space="preserve">nem köt </w:t>
      </w:r>
      <w:r w:rsidR="00C622A3" w:rsidRPr="00C1598C">
        <w:rPr>
          <w:rFonts w:ascii="Bookman Old Style" w:hAnsi="Bookman Old Style"/>
          <w:sz w:val="16"/>
          <w:szCs w:val="16"/>
          <w:lang w:val="hu-HU"/>
        </w:rPr>
        <w:t>biztosítási szerződéseket a biztosítási piac egyik szereplőjével sem</w:t>
      </w:r>
      <w:r w:rsidRPr="00C1598C">
        <w:rPr>
          <w:rFonts w:ascii="Bookman Old Style" w:hAnsi="Bookman Old Style"/>
          <w:sz w:val="16"/>
          <w:szCs w:val="16"/>
          <w:lang w:val="hu-HU"/>
        </w:rPr>
        <w:t>, amelyek feltételeire a Prezervál Kft. közreműködésével korábban ajánlatot kaptak.</w:t>
      </w:r>
      <w:r w:rsidR="00C622A3" w:rsidRPr="00C1598C">
        <w:rPr>
          <w:rFonts w:ascii="Bookman Old Style" w:hAnsi="Bookman Old Style"/>
          <w:sz w:val="16"/>
          <w:szCs w:val="16"/>
          <w:lang w:val="hu-HU"/>
        </w:rPr>
        <w:t xml:space="preserve"> </w:t>
      </w:r>
    </w:p>
    <w:p w:rsidR="00780A47" w:rsidRPr="00C1598C" w:rsidRDefault="00780A47" w:rsidP="00CD42B4">
      <w:pPr>
        <w:pStyle w:val="NormlWeb"/>
        <w:numPr>
          <w:ilvl w:val="0"/>
          <w:numId w:val="18"/>
        </w:numPr>
        <w:spacing w:before="0" w:beforeAutospacing="0" w:after="80" w:afterAutospacing="0"/>
        <w:jc w:val="both"/>
        <w:textAlignment w:val="baseline"/>
        <w:rPr>
          <w:rFonts w:ascii="Bookman Old Style" w:hAnsi="Bookman Old Style" w:cs="Arial"/>
          <w:color w:val="000000"/>
          <w:sz w:val="16"/>
          <w:szCs w:val="16"/>
        </w:rPr>
      </w:pPr>
      <w:r w:rsidRPr="00C1598C">
        <w:rPr>
          <w:rFonts w:ascii="Bookman Old Style" w:hAnsi="Bookman Old Style" w:cs="Arial"/>
          <w:color w:val="000000"/>
          <w:sz w:val="16"/>
          <w:szCs w:val="16"/>
        </w:rPr>
        <w:t>Amennyiben a Megbízó az Alkusz tevékenységét az ajánlatok beérkezésével megszünteti, köteles az Alkusz addigi költségeit megtéríteni. Amennyiben a megkötött, és érvénybe lépett biztosítási szerződés az első évben a Megbízó hibájából díj nemfizetés miatt megszűnik, úgy a Megbízott a Megbízó felé jogosult a megszűnt szerződés éves díjának 10%-át kiszámlázni.</w:t>
      </w:r>
    </w:p>
    <w:p w:rsidR="00780A47" w:rsidRPr="00C1598C" w:rsidRDefault="00780A47" w:rsidP="00D21CF5">
      <w:pPr>
        <w:pStyle w:val="normal1"/>
        <w:numPr>
          <w:ilvl w:val="0"/>
          <w:numId w:val="18"/>
        </w:numPr>
        <w:spacing w:after="80"/>
        <w:rPr>
          <w:rFonts w:ascii="Bookman Old Style" w:hAnsi="Bookman Old Style"/>
          <w:sz w:val="16"/>
          <w:szCs w:val="16"/>
          <w:lang w:val="hu-HU"/>
        </w:rPr>
      </w:pPr>
      <w:r w:rsidRPr="00C1598C">
        <w:rPr>
          <w:rFonts w:ascii="Bookman Old Style" w:hAnsi="Bookman Old Style"/>
          <w:sz w:val="16"/>
          <w:szCs w:val="16"/>
          <w:lang w:val="hu-HU"/>
        </w:rPr>
        <w:t>A Megbízó meglévő szerződéseinek felülvizsgálatáért</w:t>
      </w:r>
      <w:r w:rsidR="007C5488">
        <w:rPr>
          <w:rFonts w:ascii="Bookman Old Style" w:hAnsi="Bookman Old Style"/>
          <w:sz w:val="16"/>
          <w:szCs w:val="16"/>
          <w:lang w:val="hu-HU"/>
        </w:rPr>
        <w:t xml:space="preserve"> az A</w:t>
      </w:r>
      <w:r w:rsidR="00AB2191" w:rsidRPr="00C1598C">
        <w:rPr>
          <w:rFonts w:ascii="Bookman Old Style" w:hAnsi="Bookman Old Style"/>
          <w:sz w:val="16"/>
          <w:szCs w:val="16"/>
          <w:lang w:val="hu-HU"/>
        </w:rPr>
        <w:t>lkusz díjat számol</w:t>
      </w:r>
      <w:r w:rsidR="00596323">
        <w:rPr>
          <w:rFonts w:ascii="Bookman Old Style" w:hAnsi="Bookman Old Style"/>
          <w:sz w:val="16"/>
          <w:szCs w:val="16"/>
          <w:lang w:val="hu-HU"/>
        </w:rPr>
        <w:t>hat</w:t>
      </w:r>
      <w:r w:rsidR="00AB2191" w:rsidRPr="00C1598C">
        <w:rPr>
          <w:rFonts w:ascii="Bookman Old Style" w:hAnsi="Bookman Old Style"/>
          <w:sz w:val="16"/>
          <w:szCs w:val="16"/>
          <w:lang w:val="hu-HU"/>
        </w:rPr>
        <w:t xml:space="preserve"> fel,</w:t>
      </w:r>
      <w:r w:rsidRPr="00C1598C">
        <w:rPr>
          <w:rFonts w:ascii="Bookman Old Style" w:hAnsi="Bookman Old Style"/>
          <w:sz w:val="16"/>
          <w:szCs w:val="16"/>
          <w:lang w:val="hu-HU"/>
        </w:rPr>
        <w:t xml:space="preserve"> amennyiben</w:t>
      </w:r>
      <w:r w:rsidR="00596323">
        <w:rPr>
          <w:rFonts w:ascii="Bookman Old Style" w:hAnsi="Bookman Old Style"/>
          <w:sz w:val="16"/>
          <w:szCs w:val="16"/>
          <w:lang w:val="hu-HU"/>
        </w:rPr>
        <w:t xml:space="preserve"> szerződéskötésre nem kerül sor</w:t>
      </w:r>
    </w:p>
    <w:p w:rsidR="00780A47" w:rsidRPr="00C1598C" w:rsidRDefault="00780A47" w:rsidP="00D21CF5">
      <w:pPr>
        <w:pStyle w:val="normal1"/>
        <w:numPr>
          <w:ilvl w:val="0"/>
          <w:numId w:val="18"/>
        </w:numPr>
        <w:spacing w:after="80"/>
        <w:rPr>
          <w:rFonts w:ascii="Bookman Old Style" w:hAnsi="Bookman Old Style"/>
          <w:sz w:val="16"/>
          <w:szCs w:val="16"/>
          <w:lang w:val="hu-HU"/>
        </w:rPr>
      </w:pPr>
      <w:r w:rsidRPr="00C1598C">
        <w:rPr>
          <w:rFonts w:ascii="Bookman Old Style" w:hAnsi="Bookman Old Style"/>
          <w:sz w:val="16"/>
          <w:szCs w:val="16"/>
          <w:lang w:val="hu-HU"/>
        </w:rPr>
        <w:t xml:space="preserve">Az Alkusz kötelezettséget vállal arra, hogy az átvett és a birtokába jutott adatokat a mindenkor hatályos Adatvédelmi Törvényben foglaltak szerint kezeli. A Megbízó </w:t>
      </w:r>
      <w:r w:rsidR="00273228">
        <w:rPr>
          <w:rFonts w:ascii="Bookman Old Style" w:hAnsi="Bookman Old Style"/>
          <w:sz w:val="16"/>
          <w:szCs w:val="16"/>
          <w:lang w:val="hu-HU"/>
        </w:rPr>
        <w:t xml:space="preserve">személyes </w:t>
      </w:r>
      <w:r w:rsidRPr="00C1598C">
        <w:rPr>
          <w:rFonts w:ascii="Bookman Old Style" w:hAnsi="Bookman Old Style"/>
          <w:sz w:val="16"/>
          <w:szCs w:val="16"/>
          <w:lang w:val="hu-HU"/>
        </w:rPr>
        <w:t xml:space="preserve">adatait jelen felhatalmazás alapján kezelheti, illetve átadhatja a biztosítók számára a biztosítási szerződés megkötése, módosítása, nyilvántartása, állományban tartása, a biztosítási szerződésből származó követelések megítélése, a biztosító szolgáltatása céljából a szerződés hatálya alatt, illetve </w:t>
      </w:r>
      <w:r w:rsidR="002D080C">
        <w:rPr>
          <w:rFonts w:ascii="Bookman Old Style" w:hAnsi="Bookman Old Style"/>
          <w:sz w:val="16"/>
          <w:szCs w:val="16"/>
          <w:lang w:val="hu-HU"/>
        </w:rPr>
        <w:t xml:space="preserve">az adatokat </w:t>
      </w:r>
      <w:r w:rsidRPr="00C1598C">
        <w:rPr>
          <w:rFonts w:ascii="Bookman Old Style" w:hAnsi="Bookman Old Style"/>
          <w:sz w:val="16"/>
          <w:szCs w:val="16"/>
          <w:lang w:val="hu-HU"/>
        </w:rPr>
        <w:t xml:space="preserve">mindaddig </w:t>
      </w:r>
      <w:r w:rsidR="00273228" w:rsidRPr="00273228">
        <w:rPr>
          <w:rFonts w:ascii="Bookman Old Style" w:hAnsi="Bookman Old Style"/>
          <w:sz w:val="16"/>
          <w:szCs w:val="16"/>
          <w:lang w:val="hu-HU"/>
        </w:rPr>
        <w:t>(</w:t>
      </w:r>
      <w:r w:rsidR="00273228" w:rsidRPr="00273228">
        <w:rPr>
          <w:rFonts w:ascii="Bookman Old Style" w:hAnsi="Bookman Old Style" w:cs="Arial"/>
          <w:sz w:val="16"/>
          <w:szCs w:val="16"/>
          <w:lang w:val="hu-HU" w:eastAsia="hu-HU"/>
        </w:rPr>
        <w:t>szerződéses jogviszonyból származó kötelezettségek általános elévülési ideje:5 év</w:t>
      </w:r>
      <w:r w:rsidR="00273228" w:rsidRPr="00273228">
        <w:rPr>
          <w:rFonts w:ascii="Bookman Old Style" w:hAnsi="Bookman Old Style"/>
          <w:sz w:val="16"/>
          <w:szCs w:val="16"/>
          <w:lang w:val="hu-HU"/>
        </w:rPr>
        <w:t>)</w:t>
      </w:r>
      <w:r w:rsidR="00273228">
        <w:rPr>
          <w:rFonts w:ascii="Bookman Old Style" w:hAnsi="Bookman Old Style"/>
          <w:sz w:val="16"/>
          <w:szCs w:val="16"/>
          <w:lang w:val="hu-HU"/>
        </w:rPr>
        <w:t xml:space="preserve"> </w:t>
      </w:r>
      <w:r w:rsidRPr="00C1598C">
        <w:rPr>
          <w:rFonts w:ascii="Bookman Old Style" w:hAnsi="Bookman Old Style"/>
          <w:sz w:val="16"/>
          <w:szCs w:val="16"/>
          <w:lang w:val="hu-HU"/>
        </w:rPr>
        <w:t>kezelheti, ameddig a biztosítási szerződéssel összefüggésben igény érvényesíthető.</w:t>
      </w:r>
    </w:p>
    <w:p w:rsidR="00780A47" w:rsidRPr="00C1598C" w:rsidRDefault="00780A47" w:rsidP="00273228">
      <w:pPr>
        <w:pStyle w:val="normal1"/>
        <w:spacing w:after="80"/>
        <w:ind w:left="369" w:firstLine="0"/>
        <w:rPr>
          <w:rFonts w:ascii="Bookman Old Style" w:hAnsi="Bookman Old Style"/>
          <w:sz w:val="16"/>
          <w:szCs w:val="16"/>
          <w:lang w:val="hu-HU"/>
        </w:rPr>
      </w:pPr>
      <w:r w:rsidRPr="00C1598C">
        <w:rPr>
          <w:rFonts w:ascii="Bookman Old Style" w:hAnsi="Bookman Old Style"/>
          <w:sz w:val="16"/>
          <w:szCs w:val="16"/>
          <w:lang w:val="hu-HU"/>
        </w:rPr>
        <w:t>Az Alkuszt a tudomására jutott, ügyfelei személyi körülményeire, vagyoni helyzetére, valamint biztosítási szerződéseire vonatkozó adatainak (biztosítási titok) tekintetében, időbeni korlátozás nélkül, titoktartási kötelezettség terheli. A biztosítási titoknak minősülő adatot a biztosító harmadik fél részére csak akkor adhatja át, ha arra törvény felhatalmazza, vagy az érintett fél az adat átadáshoz hozzájárul</w:t>
      </w:r>
      <w:r w:rsidR="00273228">
        <w:rPr>
          <w:rFonts w:ascii="Bookman Old Style" w:hAnsi="Bookman Old Style"/>
          <w:sz w:val="16"/>
          <w:szCs w:val="16"/>
          <w:lang w:val="hu-HU"/>
        </w:rPr>
        <w:t xml:space="preserve">. </w:t>
      </w:r>
      <w:r w:rsidRPr="009C2D45">
        <w:rPr>
          <w:rFonts w:ascii="Bookman Old Style" w:hAnsi="Bookman Old Style"/>
          <w:sz w:val="16"/>
          <w:szCs w:val="16"/>
          <w:lang w:val="hu-HU"/>
        </w:rPr>
        <w:t>A Megbízó felmentést ad a titoktartási kötelezettség alól a biztosítónak Megbízott adatszolgáltatási igénye esetén.</w:t>
      </w:r>
    </w:p>
    <w:p w:rsidR="00780A47" w:rsidRPr="00C1598C" w:rsidRDefault="003C12B6" w:rsidP="008C24CD">
      <w:pPr>
        <w:pStyle w:val="normal1"/>
        <w:spacing w:after="80"/>
        <w:ind w:left="369" w:hanging="369"/>
        <w:rPr>
          <w:rFonts w:ascii="Bookman Old Style" w:hAnsi="Bookman Old Style"/>
          <w:color w:val="000000"/>
          <w:sz w:val="16"/>
          <w:szCs w:val="16"/>
          <w:lang w:val="hu-HU"/>
        </w:rPr>
      </w:pPr>
      <w:r>
        <w:rPr>
          <w:rFonts w:ascii="Bookman Old Style" w:hAnsi="Bookman Old Style"/>
          <w:color w:val="000000"/>
          <w:sz w:val="16"/>
          <w:szCs w:val="16"/>
          <w:lang w:val="hu-HU"/>
        </w:rPr>
        <w:t>11</w:t>
      </w:r>
      <w:r w:rsidR="00780A47" w:rsidRPr="00C1598C">
        <w:rPr>
          <w:rFonts w:ascii="Bookman Old Style" w:hAnsi="Bookman Old Style"/>
          <w:color w:val="000000"/>
          <w:sz w:val="16"/>
          <w:szCs w:val="16"/>
          <w:lang w:val="hu-HU"/>
        </w:rPr>
        <w:t>.</w:t>
      </w:r>
      <w:r w:rsidR="00780A47" w:rsidRPr="00C1598C">
        <w:rPr>
          <w:rFonts w:ascii="Bookman Old Style" w:hAnsi="Bookman Old Style"/>
          <w:color w:val="000000"/>
          <w:sz w:val="16"/>
          <w:szCs w:val="16"/>
          <w:lang w:val="hu-HU"/>
        </w:rPr>
        <w:tab/>
        <w:t>Megbízó vállalja, hogy amíg a jelen Megbízási szerződés hatálya alatt kötött biztosítási szerződések érvényben vannak, addig azonos vagy hasonló tartalmú megbízást másik biztosításközvetítő részére nem ad ki, illetve más biztosításközvetítőtől nem kér be biztosítási ajánlatot. Megbízó vállalja, hogy jelen Megbízási szerződés alatt kötött biztosítási szerződések más alkuszra való örökítéséhez nem járul hozzá</w:t>
      </w:r>
    </w:p>
    <w:p w:rsidR="00780A47" w:rsidRPr="00C1598C" w:rsidRDefault="003C12B6" w:rsidP="008C24CD">
      <w:pPr>
        <w:pStyle w:val="normal1"/>
        <w:spacing w:after="80"/>
        <w:ind w:left="369" w:hanging="369"/>
        <w:rPr>
          <w:rFonts w:ascii="Bookman Old Style" w:hAnsi="Bookman Old Style"/>
          <w:color w:val="000000"/>
          <w:sz w:val="16"/>
          <w:szCs w:val="16"/>
          <w:lang w:val="hu-HU"/>
        </w:rPr>
      </w:pPr>
      <w:r>
        <w:rPr>
          <w:rFonts w:ascii="Bookman Old Style" w:hAnsi="Bookman Old Style"/>
          <w:color w:val="000000"/>
          <w:sz w:val="16"/>
          <w:szCs w:val="16"/>
          <w:lang w:val="hu-HU"/>
        </w:rPr>
        <w:t>12</w:t>
      </w:r>
      <w:r w:rsidR="00780A47" w:rsidRPr="00C1598C">
        <w:rPr>
          <w:rFonts w:ascii="Bookman Old Style" w:hAnsi="Bookman Old Style"/>
          <w:color w:val="000000"/>
          <w:sz w:val="16"/>
          <w:szCs w:val="16"/>
          <w:lang w:val="hu-HU"/>
        </w:rPr>
        <w:t>.</w:t>
      </w:r>
      <w:r w:rsidR="00780A47" w:rsidRPr="00C1598C">
        <w:rPr>
          <w:rFonts w:ascii="Bookman Old Style" w:hAnsi="Bookman Old Style"/>
          <w:color w:val="000000"/>
          <w:sz w:val="16"/>
          <w:szCs w:val="16"/>
          <w:lang w:val="hu-HU"/>
        </w:rPr>
        <w:tab/>
        <w:t>Jelen szerződés, bármely fél részéről, a Megbízó portfoliójában</w:t>
      </w:r>
      <w:r w:rsidR="00A37A1D">
        <w:rPr>
          <w:rFonts w:ascii="Bookman Old Style" w:hAnsi="Bookman Old Style"/>
          <w:color w:val="000000"/>
          <w:sz w:val="16"/>
          <w:szCs w:val="16"/>
          <w:lang w:val="hu-HU"/>
        </w:rPr>
        <w:t>, a</w:t>
      </w:r>
      <w:r w:rsidR="00780A47" w:rsidRPr="00C1598C">
        <w:rPr>
          <w:rFonts w:ascii="Bookman Old Style" w:hAnsi="Bookman Old Style"/>
          <w:color w:val="000000"/>
          <w:sz w:val="16"/>
          <w:szCs w:val="16"/>
          <w:lang w:val="hu-HU"/>
        </w:rPr>
        <w:t xml:space="preserve"> naptár szerint legtávolabbi évfordulójú</w:t>
      </w:r>
      <w:r w:rsidR="009C2D45">
        <w:rPr>
          <w:rFonts w:ascii="Bookman Old Style" w:hAnsi="Bookman Old Style"/>
          <w:color w:val="000000"/>
          <w:sz w:val="16"/>
          <w:szCs w:val="16"/>
          <w:lang w:val="hu-HU"/>
        </w:rPr>
        <w:t>, élő</w:t>
      </w:r>
      <w:r w:rsidR="00780A47" w:rsidRPr="00C1598C">
        <w:rPr>
          <w:rFonts w:ascii="Bookman Old Style" w:hAnsi="Bookman Old Style"/>
          <w:color w:val="000000"/>
          <w:sz w:val="16"/>
          <w:szCs w:val="16"/>
          <w:lang w:val="hu-HU"/>
        </w:rPr>
        <w:t xml:space="preserve"> szerződés</w:t>
      </w:r>
      <w:r w:rsidR="009C2D45">
        <w:rPr>
          <w:rFonts w:ascii="Bookman Old Style" w:hAnsi="Bookman Old Style"/>
          <w:color w:val="000000"/>
          <w:sz w:val="16"/>
          <w:szCs w:val="16"/>
          <w:lang w:val="hu-HU"/>
        </w:rPr>
        <w:t xml:space="preserve"> napjára</w:t>
      </w:r>
      <w:r w:rsidR="00780A47" w:rsidRPr="00C1598C">
        <w:rPr>
          <w:rFonts w:ascii="Bookman Old Style" w:hAnsi="Bookman Old Style"/>
          <w:color w:val="000000"/>
          <w:sz w:val="16"/>
          <w:szCs w:val="16"/>
          <w:lang w:val="hu-HU"/>
        </w:rPr>
        <w:t>, írásban, indoklás nélkül felmondható. A felmondás abban az esetben tekinthető érvényesnek, amennyiben az a fenti határidőt megelőzően 60 nappal, bizonyíthatóan beérkezik az Alkuszhoz.</w:t>
      </w:r>
    </w:p>
    <w:p w:rsidR="00780A47" w:rsidRPr="00C1598C" w:rsidRDefault="00780A47" w:rsidP="00DB7E59">
      <w:pPr>
        <w:pStyle w:val="normal1"/>
        <w:spacing w:after="80"/>
        <w:ind w:left="0" w:firstLine="0"/>
        <w:rPr>
          <w:rFonts w:ascii="Bookman Old Style" w:hAnsi="Bookman Old Style"/>
          <w:sz w:val="16"/>
          <w:szCs w:val="16"/>
          <w:lang w:val="hu-HU"/>
        </w:rPr>
      </w:pPr>
      <w:r w:rsidRPr="00C1598C">
        <w:rPr>
          <w:rFonts w:ascii="Bookman Old Style" w:hAnsi="Bookman Old Style"/>
          <w:sz w:val="16"/>
          <w:szCs w:val="16"/>
          <w:lang w:val="hu-HU"/>
        </w:rPr>
        <w:t>A jelen szerződésben nem szabályozott kérdésekben a PTK</w:t>
      </w:r>
      <w:r w:rsidR="0010358B">
        <w:rPr>
          <w:rFonts w:ascii="Bookman Old Style" w:hAnsi="Bookman Old Style"/>
          <w:sz w:val="16"/>
          <w:szCs w:val="16"/>
          <w:lang w:val="hu-HU"/>
        </w:rPr>
        <w:t>, és a BIT</w:t>
      </w:r>
      <w:r w:rsidRPr="00C1598C">
        <w:rPr>
          <w:rFonts w:ascii="Bookman Old Style" w:hAnsi="Bookman Old Style"/>
          <w:sz w:val="16"/>
          <w:szCs w:val="16"/>
          <w:lang w:val="hu-HU"/>
        </w:rPr>
        <w:t xml:space="preserve"> vonatkozó rendelkezései irányadóak.</w:t>
      </w:r>
    </w:p>
    <w:p w:rsidR="00780A47" w:rsidRPr="00C1598C" w:rsidRDefault="00780A47" w:rsidP="00C1598C">
      <w:pPr>
        <w:pStyle w:val="Szvegtrzs"/>
        <w:ind w:left="284" w:hanging="284"/>
        <w:rPr>
          <w:rFonts w:ascii="Bookman Old Style" w:hAnsi="Bookman Old Style" w:cs="Tahoma"/>
          <w:sz w:val="16"/>
          <w:szCs w:val="16"/>
          <w:lang w:val="hu-HU"/>
        </w:rPr>
      </w:pPr>
      <w:r w:rsidRPr="00C1598C">
        <w:rPr>
          <w:rFonts w:ascii="Bookman Old Style" w:hAnsi="Bookman Old Style" w:cs="Tahoma"/>
          <w:sz w:val="16"/>
          <w:szCs w:val="16"/>
          <w:lang w:val="hu-HU"/>
        </w:rPr>
        <w:t xml:space="preserve">Budapest, </w:t>
      </w:r>
      <w:r w:rsidR="00A16ECF" w:rsidRPr="00C1598C">
        <w:rPr>
          <w:rFonts w:ascii="Bookman Old Style" w:hAnsi="Bookman Old Style" w:cs="Tahoma"/>
          <w:sz w:val="16"/>
          <w:szCs w:val="16"/>
          <w:lang w:val="hu-HU"/>
        </w:rPr>
        <w:t xml:space="preserve"> </w:t>
      </w:r>
      <w:r w:rsidR="006A351D">
        <w:rPr>
          <w:noProof/>
          <w:sz w:val="16"/>
          <w:szCs w:val="16"/>
          <w:lang w:val="hu-HU" w:eastAsia="hu-HU"/>
        </w:rPr>
        <w:drawing>
          <wp:anchor distT="0" distB="0" distL="114300" distR="114300" simplePos="0" relativeHeight="251657216" behindDoc="0" locked="0" layoutInCell="1" allowOverlap="1">
            <wp:simplePos x="0" y="0"/>
            <wp:positionH relativeFrom="column">
              <wp:posOffset>5188585</wp:posOffset>
            </wp:positionH>
            <wp:positionV relativeFrom="paragraph">
              <wp:posOffset>9247505</wp:posOffset>
            </wp:positionV>
            <wp:extent cx="1749425" cy="709930"/>
            <wp:effectExtent l="0" t="0" r="3175" b="0"/>
            <wp:wrapNone/>
            <wp:docPr id="2" name="Kép 5" descr="Livi_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Livi_sign2"/>
                    <pic:cNvPicPr>
                      <a:picLocks noChangeAspect="1" noChangeArrowheads="1"/>
                    </pic:cNvPicPr>
                  </pic:nvPicPr>
                  <pic:blipFill>
                    <a:blip r:embed="rId7" cstate="print"/>
                    <a:srcRect/>
                    <a:stretch>
                      <a:fillRect/>
                    </a:stretch>
                  </pic:blipFill>
                  <pic:spPr bwMode="auto">
                    <a:xfrm rot="-147651">
                      <a:off x="0" y="0"/>
                      <a:ext cx="1749425" cy="709930"/>
                    </a:xfrm>
                    <a:prstGeom prst="rect">
                      <a:avLst/>
                    </a:prstGeom>
                    <a:noFill/>
                    <a:ln w="9525">
                      <a:noFill/>
                      <a:miter lim="800000"/>
                      <a:headEnd/>
                      <a:tailEnd/>
                    </a:ln>
                  </pic:spPr>
                </pic:pic>
              </a:graphicData>
            </a:graphic>
          </wp:anchor>
        </w:drawing>
      </w:r>
      <w:r w:rsidR="006A351D">
        <w:rPr>
          <w:noProof/>
          <w:sz w:val="16"/>
          <w:szCs w:val="16"/>
          <w:lang w:val="hu-HU" w:eastAsia="hu-HU"/>
        </w:rPr>
        <w:drawing>
          <wp:anchor distT="0" distB="0" distL="114300" distR="114300" simplePos="0" relativeHeight="251655168" behindDoc="0" locked="0" layoutInCell="1" allowOverlap="1">
            <wp:simplePos x="0" y="0"/>
            <wp:positionH relativeFrom="column">
              <wp:posOffset>5188585</wp:posOffset>
            </wp:positionH>
            <wp:positionV relativeFrom="paragraph">
              <wp:posOffset>9247505</wp:posOffset>
            </wp:positionV>
            <wp:extent cx="1749425" cy="709930"/>
            <wp:effectExtent l="0" t="0" r="3175" b="0"/>
            <wp:wrapNone/>
            <wp:docPr id="3" name="Kép 3" descr="Livi_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ivi_sign2"/>
                    <pic:cNvPicPr>
                      <a:picLocks noChangeAspect="1" noChangeArrowheads="1"/>
                    </pic:cNvPicPr>
                  </pic:nvPicPr>
                  <pic:blipFill>
                    <a:blip r:embed="rId7" cstate="print"/>
                    <a:srcRect/>
                    <a:stretch>
                      <a:fillRect/>
                    </a:stretch>
                  </pic:blipFill>
                  <pic:spPr bwMode="auto">
                    <a:xfrm rot="-147651">
                      <a:off x="0" y="0"/>
                      <a:ext cx="1749425" cy="709930"/>
                    </a:xfrm>
                    <a:prstGeom prst="rect">
                      <a:avLst/>
                    </a:prstGeom>
                    <a:noFill/>
                    <a:ln w="9525">
                      <a:noFill/>
                      <a:miter lim="800000"/>
                      <a:headEnd/>
                      <a:tailEnd/>
                    </a:ln>
                  </pic:spPr>
                </pic:pic>
              </a:graphicData>
            </a:graphic>
          </wp:anchor>
        </w:drawing>
      </w:r>
      <w:r w:rsidR="00632252">
        <w:rPr>
          <w:rFonts w:ascii="Bookman Old Style" w:hAnsi="Bookman Old Style" w:cs="Tahoma"/>
          <w:sz w:val="16"/>
          <w:szCs w:val="16"/>
          <w:lang w:val="hu-HU"/>
        </w:rPr>
        <w:t>2018.09.06.</w:t>
      </w:r>
    </w:p>
    <w:p w:rsidR="00C1598C" w:rsidRPr="00C1598C" w:rsidRDefault="00C1598C" w:rsidP="00C1598C">
      <w:pPr>
        <w:pStyle w:val="Szvegtrzs"/>
        <w:rPr>
          <w:rFonts w:ascii="Bookman Old Style" w:hAnsi="Bookman Old Style" w:cs="Tahoma"/>
          <w:sz w:val="16"/>
          <w:szCs w:val="16"/>
          <w:lang w:val="hu-HU"/>
        </w:rPr>
      </w:pPr>
    </w:p>
    <w:p w:rsidR="00C1598C" w:rsidRDefault="00C1598C" w:rsidP="00C1598C">
      <w:pPr>
        <w:pStyle w:val="Szvegtrzs"/>
        <w:rPr>
          <w:rFonts w:ascii="Bookman Old Style" w:hAnsi="Bookman Old Style" w:cs="Tahoma"/>
          <w:sz w:val="16"/>
          <w:szCs w:val="16"/>
          <w:lang w:val="hu-HU"/>
        </w:rPr>
      </w:pPr>
    </w:p>
    <w:p w:rsidR="00780A47" w:rsidRPr="00C1598C" w:rsidRDefault="006A351D" w:rsidP="00C1598C">
      <w:pPr>
        <w:pStyle w:val="Szvegtrzs"/>
        <w:rPr>
          <w:rFonts w:ascii="Bookman Old Style" w:hAnsi="Bookman Old Style" w:cs="Tahoma"/>
          <w:sz w:val="16"/>
          <w:szCs w:val="16"/>
          <w:lang w:val="hu-HU"/>
        </w:rPr>
      </w:pPr>
      <w:r>
        <w:rPr>
          <w:noProof/>
          <w:sz w:val="16"/>
          <w:szCs w:val="16"/>
          <w:lang w:val="hu-HU" w:eastAsia="hu-HU"/>
        </w:rPr>
        <w:drawing>
          <wp:anchor distT="0" distB="0" distL="114300" distR="114300" simplePos="0" relativeHeight="251660288" behindDoc="0" locked="0" layoutInCell="1" allowOverlap="1">
            <wp:simplePos x="0" y="0"/>
            <wp:positionH relativeFrom="column">
              <wp:posOffset>5189220</wp:posOffset>
            </wp:positionH>
            <wp:positionV relativeFrom="paragraph">
              <wp:posOffset>9057005</wp:posOffset>
            </wp:positionV>
            <wp:extent cx="1749425" cy="709930"/>
            <wp:effectExtent l="0" t="0" r="3175" b="0"/>
            <wp:wrapNone/>
            <wp:docPr id="4" name="Kép 2" descr="Livi_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ivi_sign2"/>
                    <pic:cNvPicPr>
                      <a:picLocks noChangeAspect="1" noChangeArrowheads="1"/>
                    </pic:cNvPicPr>
                  </pic:nvPicPr>
                  <pic:blipFill>
                    <a:blip r:embed="rId7" cstate="print"/>
                    <a:srcRect/>
                    <a:stretch>
                      <a:fillRect/>
                    </a:stretch>
                  </pic:blipFill>
                  <pic:spPr bwMode="auto">
                    <a:xfrm rot="-147651">
                      <a:off x="0" y="0"/>
                      <a:ext cx="1749425" cy="709930"/>
                    </a:xfrm>
                    <a:prstGeom prst="rect">
                      <a:avLst/>
                    </a:prstGeom>
                    <a:noFill/>
                    <a:ln w="9525">
                      <a:noFill/>
                      <a:miter lim="800000"/>
                      <a:headEnd/>
                      <a:tailEnd/>
                    </a:ln>
                  </pic:spPr>
                </pic:pic>
              </a:graphicData>
            </a:graphic>
          </wp:anchor>
        </w:drawing>
      </w:r>
      <w:r>
        <w:rPr>
          <w:noProof/>
          <w:sz w:val="16"/>
          <w:szCs w:val="16"/>
          <w:lang w:val="hu-HU" w:eastAsia="hu-HU"/>
        </w:rPr>
        <w:drawing>
          <wp:anchor distT="0" distB="0" distL="114300" distR="114300" simplePos="0" relativeHeight="251659264" behindDoc="0" locked="0" layoutInCell="1" allowOverlap="1">
            <wp:simplePos x="0" y="0"/>
            <wp:positionH relativeFrom="column">
              <wp:posOffset>5188585</wp:posOffset>
            </wp:positionH>
            <wp:positionV relativeFrom="paragraph">
              <wp:posOffset>9247505</wp:posOffset>
            </wp:positionV>
            <wp:extent cx="1749425" cy="709930"/>
            <wp:effectExtent l="0" t="0" r="3175" b="0"/>
            <wp:wrapNone/>
            <wp:docPr id="5" name="Kép 7" descr="Livi_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Livi_sign2"/>
                    <pic:cNvPicPr>
                      <a:picLocks noChangeAspect="1" noChangeArrowheads="1"/>
                    </pic:cNvPicPr>
                  </pic:nvPicPr>
                  <pic:blipFill>
                    <a:blip r:embed="rId7" cstate="print"/>
                    <a:srcRect/>
                    <a:stretch>
                      <a:fillRect/>
                    </a:stretch>
                  </pic:blipFill>
                  <pic:spPr bwMode="auto">
                    <a:xfrm rot="-147651">
                      <a:off x="0" y="0"/>
                      <a:ext cx="1749425" cy="709930"/>
                    </a:xfrm>
                    <a:prstGeom prst="rect">
                      <a:avLst/>
                    </a:prstGeom>
                    <a:noFill/>
                    <a:ln w="9525">
                      <a:noFill/>
                      <a:miter lim="800000"/>
                      <a:headEnd/>
                      <a:tailEnd/>
                    </a:ln>
                  </pic:spPr>
                </pic:pic>
              </a:graphicData>
            </a:graphic>
          </wp:anchor>
        </w:drawing>
      </w:r>
      <w:r>
        <w:rPr>
          <w:noProof/>
          <w:sz w:val="16"/>
          <w:szCs w:val="16"/>
          <w:lang w:val="hu-HU" w:eastAsia="hu-HU"/>
        </w:rPr>
        <w:drawing>
          <wp:anchor distT="0" distB="0" distL="114300" distR="114300" simplePos="0" relativeHeight="251658240" behindDoc="0" locked="0" layoutInCell="1" allowOverlap="1">
            <wp:simplePos x="0" y="0"/>
            <wp:positionH relativeFrom="column">
              <wp:posOffset>5188585</wp:posOffset>
            </wp:positionH>
            <wp:positionV relativeFrom="paragraph">
              <wp:posOffset>9247505</wp:posOffset>
            </wp:positionV>
            <wp:extent cx="1749425" cy="709930"/>
            <wp:effectExtent l="0" t="0" r="3175" b="0"/>
            <wp:wrapNone/>
            <wp:docPr id="6" name="Kép 6" descr="Livi_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Livi_sign2"/>
                    <pic:cNvPicPr>
                      <a:picLocks noChangeAspect="1" noChangeArrowheads="1"/>
                    </pic:cNvPicPr>
                  </pic:nvPicPr>
                  <pic:blipFill>
                    <a:blip r:embed="rId7" cstate="print"/>
                    <a:srcRect/>
                    <a:stretch>
                      <a:fillRect/>
                    </a:stretch>
                  </pic:blipFill>
                  <pic:spPr bwMode="auto">
                    <a:xfrm rot="-147651">
                      <a:off x="0" y="0"/>
                      <a:ext cx="1749425" cy="709930"/>
                    </a:xfrm>
                    <a:prstGeom prst="rect">
                      <a:avLst/>
                    </a:prstGeom>
                    <a:noFill/>
                    <a:ln w="9525">
                      <a:noFill/>
                      <a:miter lim="800000"/>
                      <a:headEnd/>
                      <a:tailEnd/>
                    </a:ln>
                  </pic:spPr>
                </pic:pic>
              </a:graphicData>
            </a:graphic>
          </wp:anchor>
        </w:drawing>
      </w:r>
      <w:r>
        <w:rPr>
          <w:noProof/>
          <w:sz w:val="16"/>
          <w:szCs w:val="16"/>
          <w:lang w:val="hu-HU" w:eastAsia="hu-HU"/>
        </w:rPr>
        <w:drawing>
          <wp:anchor distT="0" distB="0" distL="114300" distR="114300" simplePos="0" relativeHeight="251656192" behindDoc="0" locked="0" layoutInCell="1" allowOverlap="1">
            <wp:simplePos x="0" y="0"/>
            <wp:positionH relativeFrom="column">
              <wp:posOffset>5188585</wp:posOffset>
            </wp:positionH>
            <wp:positionV relativeFrom="paragraph">
              <wp:posOffset>9247505</wp:posOffset>
            </wp:positionV>
            <wp:extent cx="1749425" cy="709930"/>
            <wp:effectExtent l="0" t="0" r="3175" b="0"/>
            <wp:wrapNone/>
            <wp:docPr id="7" name="Kép 4" descr="Livi_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ivi_sign2"/>
                    <pic:cNvPicPr>
                      <a:picLocks noChangeAspect="1" noChangeArrowheads="1"/>
                    </pic:cNvPicPr>
                  </pic:nvPicPr>
                  <pic:blipFill>
                    <a:blip r:embed="rId7" cstate="print"/>
                    <a:srcRect/>
                    <a:stretch>
                      <a:fillRect/>
                    </a:stretch>
                  </pic:blipFill>
                  <pic:spPr bwMode="auto">
                    <a:xfrm rot="-147651">
                      <a:off x="0" y="0"/>
                      <a:ext cx="1749425" cy="709930"/>
                    </a:xfrm>
                    <a:prstGeom prst="rect">
                      <a:avLst/>
                    </a:prstGeom>
                    <a:noFill/>
                    <a:ln w="9525">
                      <a:noFill/>
                      <a:miter lim="800000"/>
                      <a:headEnd/>
                      <a:tailEnd/>
                    </a:ln>
                  </pic:spPr>
                </pic:pic>
              </a:graphicData>
            </a:graphic>
          </wp:anchor>
        </w:drawing>
      </w:r>
    </w:p>
    <w:p w:rsidR="00780A47" w:rsidRPr="00C1598C" w:rsidRDefault="00780A47" w:rsidP="00C1598C">
      <w:pPr>
        <w:tabs>
          <w:tab w:val="left" w:pos="0"/>
          <w:tab w:val="left" w:leader="dot" w:pos="2835"/>
          <w:tab w:val="left" w:pos="7320"/>
          <w:tab w:val="right" w:leader="dot" w:pos="10200"/>
        </w:tabs>
        <w:rPr>
          <w:rFonts w:ascii="Bookman Old Style" w:hAnsi="Bookman Old Style" w:cs="Tahoma"/>
          <w:sz w:val="16"/>
          <w:szCs w:val="16"/>
        </w:rPr>
      </w:pPr>
      <w:r w:rsidRPr="00C1598C">
        <w:rPr>
          <w:rFonts w:ascii="Bookman Old Style" w:hAnsi="Bookman Old Style" w:cs="Tahoma"/>
          <w:sz w:val="16"/>
          <w:szCs w:val="16"/>
        </w:rPr>
        <w:tab/>
      </w:r>
      <w:r w:rsidRPr="00C1598C">
        <w:rPr>
          <w:rFonts w:ascii="Bookman Old Style" w:hAnsi="Bookman Old Style" w:cs="Tahoma"/>
          <w:sz w:val="16"/>
          <w:szCs w:val="16"/>
        </w:rPr>
        <w:tab/>
      </w:r>
      <w:r w:rsidRPr="00C1598C">
        <w:rPr>
          <w:rFonts w:ascii="Bookman Old Style" w:hAnsi="Bookman Old Style" w:cs="Tahoma"/>
          <w:sz w:val="16"/>
          <w:szCs w:val="16"/>
        </w:rPr>
        <w:tab/>
      </w:r>
    </w:p>
    <w:p w:rsidR="00780A47" w:rsidRPr="00C1598C" w:rsidRDefault="00780A47" w:rsidP="00C1598C">
      <w:pPr>
        <w:tabs>
          <w:tab w:val="left" w:pos="0"/>
          <w:tab w:val="center" w:pos="1418"/>
          <w:tab w:val="center" w:pos="8640"/>
          <w:tab w:val="right" w:pos="9639"/>
        </w:tabs>
        <w:rPr>
          <w:rFonts w:ascii="Bookman Old Style" w:hAnsi="Bookman Old Style" w:cs="Tahoma"/>
          <w:sz w:val="14"/>
          <w:szCs w:val="14"/>
        </w:rPr>
      </w:pPr>
      <w:r w:rsidRPr="00C1598C">
        <w:rPr>
          <w:rFonts w:ascii="Bookman Old Style" w:hAnsi="Bookman Old Style" w:cs="Tahoma"/>
          <w:sz w:val="16"/>
          <w:szCs w:val="16"/>
        </w:rPr>
        <w:tab/>
      </w:r>
      <w:r w:rsidRPr="00C1598C">
        <w:rPr>
          <w:rFonts w:ascii="Bookman Old Style" w:hAnsi="Bookman Old Style" w:cs="Tahoma"/>
          <w:sz w:val="14"/>
          <w:szCs w:val="14"/>
        </w:rPr>
        <w:t>Megbízó</w:t>
      </w:r>
      <w:r w:rsidRPr="00C1598C">
        <w:rPr>
          <w:rFonts w:ascii="Bookman Old Style" w:hAnsi="Bookman Old Style" w:cs="Tahoma"/>
          <w:sz w:val="14"/>
          <w:szCs w:val="14"/>
        </w:rPr>
        <w:tab/>
        <w:t>Alkusz</w:t>
      </w:r>
      <w:r w:rsidR="00C1598C">
        <w:rPr>
          <w:rFonts w:ascii="Bookman Old Style" w:hAnsi="Bookman Old Style" w:cs="Tahoma"/>
          <w:sz w:val="14"/>
          <w:szCs w:val="14"/>
        </w:rPr>
        <w:t>/Megbízott</w:t>
      </w:r>
    </w:p>
    <w:sectPr w:rsidR="00780A47" w:rsidRPr="00C1598C" w:rsidSect="00C1598C">
      <w:headerReference w:type="default" r:id="rId8"/>
      <w:footerReference w:type="default" r:id="rId9"/>
      <w:pgSz w:w="11909" w:h="16834" w:code="9"/>
      <w:pgMar w:top="1276" w:right="851" w:bottom="851" w:left="851" w:header="170" w:footer="17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12" w:rsidRDefault="00926D12">
      <w:r>
        <w:separator/>
      </w:r>
    </w:p>
  </w:endnote>
  <w:endnote w:type="continuationSeparator" w:id="0">
    <w:p w:rsidR="00926D12" w:rsidRDefault="00926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031"/>
      <w:gridCol w:w="4069"/>
      <w:gridCol w:w="3323"/>
    </w:tblGrid>
    <w:tr w:rsidR="009C2D45" w:rsidRPr="008A0888">
      <w:tc>
        <w:tcPr>
          <w:tcW w:w="1454" w:type="pct"/>
        </w:tcPr>
        <w:p w:rsidR="009C2D45" w:rsidRPr="008A0888" w:rsidRDefault="009C2D45" w:rsidP="008A0888">
          <w:pPr>
            <w:pStyle w:val="llb"/>
            <w:tabs>
              <w:tab w:val="clear" w:pos="4153"/>
              <w:tab w:val="clear" w:pos="8306"/>
              <w:tab w:val="left" w:pos="0"/>
              <w:tab w:val="center" w:pos="4820"/>
              <w:tab w:val="right" w:pos="9639"/>
            </w:tabs>
            <w:jc w:val="left"/>
            <w:rPr>
              <w:rFonts w:ascii="Bookman Old Style" w:hAnsi="Bookman Old Style"/>
              <w:color w:val="006699"/>
              <w:sz w:val="12"/>
              <w:szCs w:val="12"/>
            </w:rPr>
          </w:pPr>
          <w:r w:rsidRPr="008A0888">
            <w:rPr>
              <w:rFonts w:ascii="Bookman Old Style" w:hAnsi="Bookman Old Style"/>
              <w:color w:val="006699"/>
              <w:sz w:val="12"/>
              <w:szCs w:val="12"/>
            </w:rPr>
            <w:t xml:space="preserve">1158 </w:t>
          </w:r>
          <w:smartTag w:uri="urn:schemas-microsoft-com:office:smarttags" w:element="City">
            <w:smartTag w:uri="urn:schemas-microsoft-com:office:smarttags" w:element="place">
              <w:r w:rsidRPr="008A0888">
                <w:rPr>
                  <w:rFonts w:ascii="Bookman Old Style" w:hAnsi="Bookman Old Style"/>
                  <w:color w:val="006699"/>
                  <w:sz w:val="12"/>
                  <w:szCs w:val="12"/>
                </w:rPr>
                <w:t>Budapest</w:t>
              </w:r>
            </w:smartTag>
          </w:smartTag>
          <w:r w:rsidRPr="008A0888">
            <w:rPr>
              <w:rFonts w:ascii="Bookman Old Style" w:hAnsi="Bookman Old Style"/>
              <w:color w:val="006699"/>
              <w:sz w:val="12"/>
              <w:szCs w:val="12"/>
            </w:rPr>
            <w:t>,</w:t>
          </w:r>
          <w:r w:rsidRPr="00B31D5D">
            <w:rPr>
              <w:rFonts w:ascii="Bookman Old Style" w:hAnsi="Bookman Old Style"/>
              <w:color w:val="006699"/>
              <w:sz w:val="12"/>
              <w:szCs w:val="12"/>
            </w:rPr>
            <w:t xml:space="preserve"> Gergő</w:t>
          </w:r>
          <w:r w:rsidRPr="008A0888">
            <w:rPr>
              <w:rFonts w:ascii="Bookman Old Style" w:hAnsi="Bookman Old Style"/>
              <w:color w:val="006699"/>
              <w:sz w:val="12"/>
              <w:szCs w:val="12"/>
            </w:rPr>
            <w:t xml:space="preserve"> u. 34.</w:t>
          </w:r>
        </w:p>
      </w:tc>
      <w:tc>
        <w:tcPr>
          <w:tcW w:w="1952" w:type="pct"/>
        </w:tcPr>
        <w:p w:rsidR="009C2D45" w:rsidRPr="008A0888" w:rsidRDefault="009C2D45" w:rsidP="001435A7">
          <w:pPr>
            <w:pStyle w:val="llb"/>
            <w:tabs>
              <w:tab w:val="clear" w:pos="4153"/>
              <w:tab w:val="clear" w:pos="8306"/>
              <w:tab w:val="left" w:pos="0"/>
              <w:tab w:val="center" w:pos="4820"/>
              <w:tab w:val="right" w:pos="9639"/>
            </w:tabs>
            <w:jc w:val="center"/>
            <w:rPr>
              <w:rFonts w:ascii="Bookman Old Style" w:hAnsi="Bookman Old Style"/>
              <w:b/>
              <w:color w:val="006699"/>
              <w:sz w:val="14"/>
              <w:szCs w:val="14"/>
            </w:rPr>
          </w:pPr>
          <w:r w:rsidRPr="008A0888">
            <w:rPr>
              <w:rFonts w:ascii="Bookman Old Style" w:hAnsi="Bookman Old Style"/>
              <w:b/>
              <w:color w:val="006699"/>
              <w:sz w:val="14"/>
              <w:szCs w:val="14"/>
            </w:rPr>
            <w:t>Prezervál Biztosítási Alkusz Kft</w:t>
          </w:r>
        </w:p>
      </w:tc>
      <w:tc>
        <w:tcPr>
          <w:tcW w:w="1594" w:type="pct"/>
        </w:tcPr>
        <w:p w:rsidR="009C2D45" w:rsidRPr="008A0888" w:rsidRDefault="009C2D45" w:rsidP="008A0888">
          <w:pPr>
            <w:pStyle w:val="llb"/>
            <w:tabs>
              <w:tab w:val="clear" w:pos="4153"/>
              <w:tab w:val="clear" w:pos="8306"/>
              <w:tab w:val="left" w:pos="0"/>
              <w:tab w:val="center" w:pos="4820"/>
              <w:tab w:val="right" w:pos="9639"/>
            </w:tabs>
            <w:jc w:val="right"/>
            <w:rPr>
              <w:rFonts w:ascii="Bookman Old Style" w:hAnsi="Bookman Old Style"/>
              <w:color w:val="006699"/>
              <w:sz w:val="12"/>
              <w:szCs w:val="12"/>
              <w:lang w:val="sv-SE"/>
            </w:rPr>
          </w:pPr>
          <w:r w:rsidRPr="008A0888">
            <w:rPr>
              <w:rFonts w:ascii="Bookman Old Style" w:hAnsi="Bookman Old Style"/>
              <w:color w:val="006699"/>
              <w:sz w:val="12"/>
              <w:szCs w:val="12"/>
              <w:lang w:val="sv-SE"/>
            </w:rPr>
            <w:t>2021 Tahitótfalu, Gábor Á. u. 5.</w:t>
          </w:r>
        </w:p>
      </w:tc>
    </w:tr>
    <w:tr w:rsidR="009C2D45" w:rsidRPr="008A0888">
      <w:tc>
        <w:tcPr>
          <w:tcW w:w="1454" w:type="pct"/>
        </w:tcPr>
        <w:p w:rsidR="009C2D45" w:rsidRPr="008A0888" w:rsidRDefault="009C2D45" w:rsidP="008A0888">
          <w:pPr>
            <w:pStyle w:val="llb"/>
            <w:tabs>
              <w:tab w:val="clear" w:pos="4153"/>
              <w:tab w:val="clear" w:pos="8306"/>
              <w:tab w:val="left" w:pos="0"/>
              <w:tab w:val="center" w:pos="4820"/>
              <w:tab w:val="right" w:pos="9639"/>
            </w:tabs>
            <w:jc w:val="left"/>
            <w:rPr>
              <w:rFonts w:ascii="Bookman Old Style" w:hAnsi="Bookman Old Style"/>
              <w:color w:val="006699"/>
              <w:sz w:val="12"/>
              <w:szCs w:val="12"/>
            </w:rPr>
          </w:pPr>
          <w:r w:rsidRPr="008A0888">
            <w:rPr>
              <w:rFonts w:ascii="Bookman Old Style" w:hAnsi="Bookman Old Style"/>
              <w:color w:val="006699"/>
              <w:sz w:val="12"/>
              <w:szCs w:val="12"/>
            </w:rPr>
            <w:t xml:space="preserve">Tel/fax: (1) 417 1416 </w:t>
          </w:r>
        </w:p>
        <w:p w:rsidR="009C2D45" w:rsidRPr="008A0888" w:rsidRDefault="009C2D45" w:rsidP="003F3FB2">
          <w:pPr>
            <w:pStyle w:val="llb"/>
            <w:tabs>
              <w:tab w:val="clear" w:pos="4153"/>
              <w:tab w:val="clear" w:pos="8306"/>
              <w:tab w:val="left" w:pos="0"/>
              <w:tab w:val="center" w:pos="4820"/>
              <w:tab w:val="right" w:pos="9639"/>
            </w:tabs>
            <w:jc w:val="left"/>
            <w:rPr>
              <w:rFonts w:ascii="Bookman Old Style" w:hAnsi="Bookman Old Style"/>
              <w:color w:val="006699"/>
              <w:sz w:val="12"/>
              <w:szCs w:val="12"/>
              <w:lang w:val="sv-SE"/>
            </w:rPr>
          </w:pPr>
          <w:r w:rsidRPr="008A0888">
            <w:rPr>
              <w:rFonts w:ascii="Bookman Old Style" w:hAnsi="Bookman Old Style"/>
              <w:color w:val="006699"/>
              <w:sz w:val="12"/>
              <w:szCs w:val="12"/>
            </w:rPr>
            <w:t xml:space="preserve">Mobil: </w:t>
          </w:r>
          <w:r>
            <w:rPr>
              <w:rFonts w:ascii="Bookman Old Style" w:hAnsi="Bookman Old Style"/>
              <w:color w:val="006699"/>
              <w:sz w:val="12"/>
              <w:szCs w:val="12"/>
            </w:rPr>
            <w:t>(</w:t>
          </w:r>
          <w:r w:rsidRPr="008A0888">
            <w:rPr>
              <w:rFonts w:ascii="Bookman Old Style" w:hAnsi="Bookman Old Style"/>
              <w:color w:val="006699"/>
              <w:sz w:val="12"/>
              <w:szCs w:val="12"/>
            </w:rPr>
            <w:t>20</w:t>
          </w:r>
          <w:r>
            <w:rPr>
              <w:rFonts w:ascii="Bookman Old Style" w:hAnsi="Bookman Old Style"/>
              <w:color w:val="006699"/>
              <w:sz w:val="12"/>
              <w:szCs w:val="12"/>
            </w:rPr>
            <w:t>)</w:t>
          </w:r>
          <w:r w:rsidRPr="008A0888">
            <w:rPr>
              <w:rFonts w:ascii="Bookman Old Style" w:hAnsi="Bookman Old Style"/>
              <w:color w:val="006699"/>
              <w:sz w:val="12"/>
              <w:szCs w:val="12"/>
            </w:rPr>
            <w:t> 947 0583</w:t>
          </w:r>
        </w:p>
      </w:tc>
      <w:tc>
        <w:tcPr>
          <w:tcW w:w="1952" w:type="pct"/>
        </w:tcPr>
        <w:p w:rsidR="009C2D45" w:rsidRPr="009227B0" w:rsidRDefault="009C2D45" w:rsidP="00504C0F">
          <w:pPr>
            <w:pStyle w:val="llb"/>
            <w:tabs>
              <w:tab w:val="clear" w:pos="4153"/>
              <w:tab w:val="clear" w:pos="8306"/>
              <w:tab w:val="left" w:pos="0"/>
              <w:tab w:val="center" w:pos="4820"/>
              <w:tab w:val="right" w:pos="9639"/>
            </w:tabs>
            <w:jc w:val="center"/>
            <w:rPr>
              <w:rFonts w:ascii="Bookman Old Style" w:hAnsi="Bookman Old Style"/>
              <w:color w:val="006699"/>
              <w:sz w:val="12"/>
              <w:szCs w:val="12"/>
              <w:lang w:val="sv-SE"/>
            </w:rPr>
          </w:pPr>
          <w:r w:rsidRPr="009227B0">
            <w:rPr>
              <w:rFonts w:ascii="Bookman Old Style" w:hAnsi="Bookman Old Style"/>
              <w:color w:val="006699"/>
              <w:sz w:val="12"/>
              <w:szCs w:val="12"/>
              <w:lang w:val="sv-SE"/>
            </w:rPr>
            <w:t xml:space="preserve">Iroda: </w:t>
          </w:r>
          <w:r>
            <w:rPr>
              <w:rFonts w:ascii="Bookman Old Style" w:hAnsi="Bookman Old Style"/>
              <w:color w:val="006699"/>
              <w:sz w:val="12"/>
              <w:szCs w:val="12"/>
              <w:lang w:val="sv-SE"/>
            </w:rPr>
            <w:t>1137 Budapest, Radnóti Miklós u. 5-7. fsz/6</w:t>
          </w:r>
        </w:p>
        <w:p w:rsidR="009C2D45" w:rsidRPr="008A0888" w:rsidRDefault="009C2D45" w:rsidP="001435A7">
          <w:pPr>
            <w:pStyle w:val="llb"/>
            <w:tabs>
              <w:tab w:val="clear" w:pos="4153"/>
              <w:tab w:val="clear" w:pos="8306"/>
              <w:tab w:val="left" w:pos="0"/>
              <w:tab w:val="center" w:pos="4820"/>
              <w:tab w:val="right" w:pos="9639"/>
            </w:tabs>
            <w:jc w:val="center"/>
            <w:rPr>
              <w:rFonts w:ascii="Bookman Old Style" w:hAnsi="Bookman Old Style"/>
              <w:color w:val="006699"/>
              <w:sz w:val="14"/>
              <w:szCs w:val="14"/>
              <w:lang w:val="sv-SE"/>
            </w:rPr>
          </w:pPr>
          <w:r>
            <w:rPr>
              <w:rFonts w:ascii="Bookman Old Style" w:hAnsi="Bookman Old Style"/>
              <w:color w:val="006699"/>
              <w:sz w:val="12"/>
              <w:szCs w:val="12"/>
              <w:lang w:val="sv-SE"/>
            </w:rPr>
            <w:t xml:space="preserve">Tel: (1) 321 5873  </w:t>
          </w:r>
          <w:r w:rsidRPr="008A0888">
            <w:rPr>
              <w:rFonts w:ascii="Bookman Old Style" w:hAnsi="Bookman Old Style"/>
              <w:color w:val="006699"/>
              <w:sz w:val="12"/>
              <w:szCs w:val="12"/>
              <w:lang w:val="sv-SE"/>
            </w:rPr>
            <w:t>Fax: (1) 343 1211</w:t>
          </w:r>
        </w:p>
      </w:tc>
      <w:tc>
        <w:tcPr>
          <w:tcW w:w="1594" w:type="pct"/>
        </w:tcPr>
        <w:p w:rsidR="009C2D45" w:rsidRPr="008A0888" w:rsidRDefault="009C2D45" w:rsidP="008A0888">
          <w:pPr>
            <w:pStyle w:val="llb"/>
            <w:tabs>
              <w:tab w:val="clear" w:pos="4153"/>
              <w:tab w:val="clear" w:pos="8306"/>
              <w:tab w:val="left" w:pos="0"/>
              <w:tab w:val="center" w:pos="4820"/>
              <w:tab w:val="right" w:pos="9639"/>
            </w:tabs>
            <w:jc w:val="right"/>
            <w:rPr>
              <w:rFonts w:ascii="Bookman Old Style" w:hAnsi="Bookman Old Style"/>
              <w:color w:val="006699"/>
              <w:sz w:val="12"/>
              <w:szCs w:val="12"/>
            </w:rPr>
          </w:pPr>
          <w:r w:rsidRPr="008A0888">
            <w:rPr>
              <w:rFonts w:ascii="Bookman Old Style" w:hAnsi="Bookman Old Style"/>
              <w:color w:val="006699"/>
              <w:sz w:val="12"/>
              <w:szCs w:val="12"/>
            </w:rPr>
            <w:t>Tel/fax:</w:t>
          </w:r>
          <w:r>
            <w:rPr>
              <w:rFonts w:ascii="Bookman Old Style" w:hAnsi="Bookman Old Style"/>
              <w:color w:val="006699"/>
              <w:sz w:val="12"/>
              <w:szCs w:val="12"/>
            </w:rPr>
            <w:t xml:space="preserve"> </w:t>
          </w:r>
          <w:r w:rsidRPr="008A0888">
            <w:rPr>
              <w:rFonts w:ascii="Bookman Old Style" w:hAnsi="Bookman Old Style"/>
              <w:color w:val="006699"/>
              <w:sz w:val="12"/>
              <w:szCs w:val="12"/>
            </w:rPr>
            <w:t>(26) 385 829</w:t>
          </w:r>
        </w:p>
        <w:p w:rsidR="009C2D45" w:rsidRPr="008A0888" w:rsidRDefault="009C2D45" w:rsidP="003F3FB2">
          <w:pPr>
            <w:pStyle w:val="llb"/>
            <w:tabs>
              <w:tab w:val="clear" w:pos="4153"/>
              <w:tab w:val="clear" w:pos="8306"/>
              <w:tab w:val="left" w:pos="0"/>
              <w:tab w:val="center" w:pos="4820"/>
              <w:tab w:val="right" w:pos="9639"/>
            </w:tabs>
            <w:jc w:val="right"/>
            <w:rPr>
              <w:rFonts w:ascii="Bookman Old Style" w:hAnsi="Bookman Old Style"/>
              <w:color w:val="006699"/>
              <w:sz w:val="12"/>
              <w:szCs w:val="12"/>
              <w:lang w:val="sv-SE"/>
            </w:rPr>
          </w:pPr>
          <w:r w:rsidRPr="008A0888">
            <w:rPr>
              <w:rFonts w:ascii="Bookman Old Style" w:hAnsi="Bookman Old Style"/>
              <w:color w:val="006699"/>
              <w:sz w:val="12"/>
              <w:szCs w:val="12"/>
            </w:rPr>
            <w:t xml:space="preserve">Mobil: </w:t>
          </w:r>
          <w:r>
            <w:rPr>
              <w:rFonts w:ascii="Bookman Old Style" w:hAnsi="Bookman Old Style"/>
              <w:color w:val="006699"/>
              <w:sz w:val="12"/>
              <w:szCs w:val="12"/>
            </w:rPr>
            <w:t>(</w:t>
          </w:r>
          <w:r w:rsidRPr="008A0888">
            <w:rPr>
              <w:rFonts w:ascii="Bookman Old Style" w:hAnsi="Bookman Old Style"/>
              <w:color w:val="006699"/>
              <w:sz w:val="12"/>
              <w:szCs w:val="12"/>
            </w:rPr>
            <w:t>20</w:t>
          </w:r>
          <w:r>
            <w:rPr>
              <w:rFonts w:ascii="Bookman Old Style" w:hAnsi="Bookman Old Style"/>
              <w:color w:val="006699"/>
              <w:sz w:val="12"/>
              <w:szCs w:val="12"/>
            </w:rPr>
            <w:t>)</w:t>
          </w:r>
          <w:r w:rsidRPr="008A0888">
            <w:rPr>
              <w:rFonts w:ascii="Bookman Old Style" w:hAnsi="Bookman Old Style"/>
              <w:color w:val="006699"/>
              <w:sz w:val="12"/>
              <w:szCs w:val="12"/>
            </w:rPr>
            <w:t> 946 7203</w:t>
          </w:r>
        </w:p>
      </w:tc>
    </w:tr>
  </w:tbl>
  <w:p w:rsidR="009C2D45" w:rsidRPr="00713BBF" w:rsidRDefault="009C2D45" w:rsidP="00713BBF">
    <w:pPr>
      <w:rPr>
        <w:sz w:val="2"/>
        <w:szCs w:val="2"/>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12" w:rsidRDefault="00926D12">
      <w:r>
        <w:separator/>
      </w:r>
    </w:p>
  </w:footnote>
  <w:footnote w:type="continuationSeparator" w:id="0">
    <w:p w:rsidR="00926D12" w:rsidRDefault="00926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45" w:rsidRDefault="006A351D" w:rsidP="008A0888">
    <w:pPr>
      <w:pStyle w:val="lfej"/>
      <w:tabs>
        <w:tab w:val="clear" w:pos="4153"/>
      </w:tabs>
      <w:jc w:val="center"/>
    </w:pPr>
    <w:r>
      <w:rPr>
        <w:rFonts w:ascii="Bookman Old Style" w:hAnsi="Bookman Old Style"/>
        <w:noProof/>
        <w:sz w:val="20"/>
        <w:lang w:eastAsia="hu-HU"/>
      </w:rPr>
      <w:drawing>
        <wp:inline distT="0" distB="0" distL="0" distR="0">
          <wp:extent cx="1419860" cy="584835"/>
          <wp:effectExtent l="19050" t="0" r="8890" b="0"/>
          <wp:docPr id="1" name="Kép 1" descr="Prezervál-ú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Prezervál-új"/>
                  <pic:cNvPicPr>
                    <a:picLocks noChangeAspect="1" noChangeArrowheads="1"/>
                  </pic:cNvPicPr>
                </pic:nvPicPr>
                <pic:blipFill>
                  <a:blip r:embed="rId1"/>
                  <a:srcRect/>
                  <a:stretch>
                    <a:fillRect/>
                  </a:stretch>
                </pic:blipFill>
                <pic:spPr bwMode="auto">
                  <a:xfrm>
                    <a:off x="0" y="0"/>
                    <a:ext cx="1419860" cy="584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465A48"/>
    <w:multiLevelType w:val="multilevel"/>
    <w:tmpl w:val="847AD17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5F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1B53A3"/>
    <w:multiLevelType w:val="multilevel"/>
    <w:tmpl w:val="61F6A13A"/>
    <w:lvl w:ilvl="0">
      <w:start w:val="1"/>
      <w:numFmt w:val="decimal"/>
      <w:lvlText w:val="%1."/>
      <w:lvlJc w:val="left"/>
      <w:pPr>
        <w:tabs>
          <w:tab w:val="num" w:pos="369"/>
        </w:tabs>
        <w:ind w:left="369" w:hanging="369"/>
      </w:pPr>
      <w:rPr>
        <w:rFonts w:ascii="Bookman Old Style" w:hAnsi="Bookman Old Style" w:cs="Times New Roman" w:hint="default"/>
        <w:b w:val="0"/>
        <w:i w:val="0"/>
        <w:sz w:val="17"/>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A14767"/>
    <w:multiLevelType w:val="multilevel"/>
    <w:tmpl w:val="CFA81F66"/>
    <w:lvl w:ilvl="0">
      <w:start w:val="4"/>
      <w:numFmt w:val="decimal"/>
      <w:lvlText w:val="%1."/>
      <w:lvlJc w:val="left"/>
      <w:pPr>
        <w:tabs>
          <w:tab w:val="num" w:pos="369"/>
        </w:tabs>
        <w:ind w:left="369" w:hanging="369"/>
      </w:pPr>
      <w:rPr>
        <w:rFonts w:ascii="Bookman Old Style" w:hAnsi="Bookman Old Style" w:cs="Times New Roman" w:hint="default"/>
        <w:b w:val="0"/>
        <w:i w:val="0"/>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8926DA8"/>
    <w:multiLevelType w:val="hybridMultilevel"/>
    <w:tmpl w:val="8C704420"/>
    <w:lvl w:ilvl="0" w:tplc="6F04590C">
      <w:start w:val="1"/>
      <w:numFmt w:val="decimal"/>
      <w:lvlText w:val="%1."/>
      <w:lvlJc w:val="left"/>
      <w:pPr>
        <w:tabs>
          <w:tab w:val="num" w:pos="369"/>
        </w:tabs>
        <w:ind w:left="369" w:hanging="369"/>
      </w:pPr>
      <w:rPr>
        <w:rFonts w:ascii="Bookman Old Style" w:hAnsi="Bookman Old Style" w:cs="Times New Roman" w:hint="default"/>
        <w:b w:val="0"/>
        <w:i w:val="0"/>
        <w:sz w:val="16"/>
      </w:rPr>
    </w:lvl>
    <w:lvl w:ilvl="1" w:tplc="31C856D0">
      <w:start w:val="1"/>
      <w:numFmt w:val="bullet"/>
      <w:lvlText w:val=""/>
      <w:lvlJc w:val="left"/>
      <w:pPr>
        <w:tabs>
          <w:tab w:val="num" w:pos="737"/>
        </w:tabs>
        <w:ind w:left="737" w:hanging="368"/>
      </w:pPr>
      <w:rPr>
        <w:rFonts w:ascii="Symbol" w:hAnsi="Symbol" w:hint="default"/>
        <w:b w:val="0"/>
        <w:i w:val="0"/>
        <w:sz w:val="17"/>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3BAC0847"/>
    <w:multiLevelType w:val="multilevel"/>
    <w:tmpl w:val="03E6F52E"/>
    <w:lvl w:ilvl="0">
      <w:start w:val="1"/>
      <w:numFmt w:val="decimal"/>
      <w:lvlText w:val="%1."/>
      <w:lvlJc w:val="left"/>
      <w:pPr>
        <w:tabs>
          <w:tab w:val="num" w:pos="369"/>
        </w:tabs>
        <w:ind w:left="369" w:hanging="369"/>
      </w:pPr>
      <w:rPr>
        <w:rFonts w:ascii="Bookman Old Style" w:hAnsi="Bookman Old Style" w:cs="Times New Roman" w:hint="default"/>
        <w:b w:val="0"/>
        <w:i w:val="0"/>
        <w:sz w:val="17"/>
      </w:rPr>
    </w:lvl>
    <w:lvl w:ilvl="1">
      <w:start w:val="1"/>
      <w:numFmt w:val="bullet"/>
      <w:lvlText w:val=""/>
      <w:lvlJc w:val="left"/>
      <w:pPr>
        <w:tabs>
          <w:tab w:val="num" w:pos="737"/>
        </w:tabs>
        <w:ind w:left="737" w:hanging="368"/>
      </w:pPr>
      <w:rPr>
        <w:rFonts w:ascii="Symbol" w:hAnsi="Symbol" w:hint="default"/>
        <w:b w:val="0"/>
        <w:i w:val="0"/>
        <w:sz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C792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AAE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DB54EA3"/>
    <w:multiLevelType w:val="singleLevel"/>
    <w:tmpl w:val="36D2A2B2"/>
    <w:lvl w:ilvl="0">
      <w:start w:val="1"/>
      <w:numFmt w:val="decimal"/>
      <w:lvlText w:val="%1."/>
      <w:lvlJc w:val="left"/>
      <w:pPr>
        <w:tabs>
          <w:tab w:val="num" w:pos="720"/>
        </w:tabs>
        <w:ind w:left="720" w:hanging="720"/>
      </w:pPr>
      <w:rPr>
        <w:rFonts w:cs="Times New Roman" w:hint="default"/>
      </w:rPr>
    </w:lvl>
  </w:abstractNum>
  <w:abstractNum w:abstractNumId="10">
    <w:nsid w:val="50947F6C"/>
    <w:multiLevelType w:val="hybridMultilevel"/>
    <w:tmpl w:val="4704C44C"/>
    <w:lvl w:ilvl="0" w:tplc="1F86C098">
      <w:start w:val="4"/>
      <w:numFmt w:val="decimal"/>
      <w:lvlText w:val="%1."/>
      <w:lvlJc w:val="left"/>
      <w:pPr>
        <w:tabs>
          <w:tab w:val="num" w:pos="369"/>
        </w:tabs>
        <w:ind w:left="369" w:hanging="369"/>
      </w:pPr>
      <w:rPr>
        <w:rFonts w:ascii="Bookman Old Style" w:hAnsi="Bookman Old Style" w:cs="Times New Roman" w:hint="default"/>
        <w:b w:val="0"/>
        <w:i w:val="0"/>
        <w:sz w:val="16"/>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54202116"/>
    <w:multiLevelType w:val="hybridMultilevel"/>
    <w:tmpl w:val="A1583DA4"/>
    <w:lvl w:ilvl="0" w:tplc="4EB4AD10">
      <w:start w:val="1"/>
      <w:numFmt w:val="decimal"/>
      <w:lvlText w:val="%1."/>
      <w:lvlJc w:val="left"/>
      <w:pPr>
        <w:tabs>
          <w:tab w:val="num" w:pos="284"/>
        </w:tabs>
        <w:ind w:left="284" w:hanging="284"/>
      </w:pPr>
      <w:rPr>
        <w:rFonts w:ascii="Bookman Old Style" w:hAnsi="Bookman Old Style" w:cs="Times New Roman" w:hint="default"/>
        <w:b w:val="0"/>
        <w:i w:val="0"/>
        <w:sz w:val="17"/>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574C4A87"/>
    <w:multiLevelType w:val="multilevel"/>
    <w:tmpl w:val="E67E08D8"/>
    <w:lvl w:ilvl="0">
      <w:start w:val="1"/>
      <w:numFmt w:val="decimal"/>
      <w:lvlText w:val="%1."/>
      <w:lvlJc w:val="left"/>
      <w:pPr>
        <w:tabs>
          <w:tab w:val="num" w:pos="720"/>
        </w:tabs>
        <w:ind w:left="720" w:hanging="360"/>
      </w:pPr>
      <w:rPr>
        <w:rFonts w:ascii="Bookman Old Style" w:hAnsi="Bookman Old Style" w:cs="Times New Roman" w:hint="default"/>
        <w:b w:val="0"/>
        <w:i w:val="0"/>
        <w:sz w:val="17"/>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121518C"/>
    <w:multiLevelType w:val="singleLevel"/>
    <w:tmpl w:val="70AE4182"/>
    <w:lvl w:ilvl="0">
      <w:start w:val="2"/>
      <w:numFmt w:val="bullet"/>
      <w:lvlText w:val="-"/>
      <w:lvlJc w:val="left"/>
      <w:pPr>
        <w:tabs>
          <w:tab w:val="num" w:pos="1080"/>
        </w:tabs>
        <w:ind w:left="1080" w:hanging="360"/>
      </w:pPr>
      <w:rPr>
        <w:rFonts w:hint="default"/>
      </w:rPr>
    </w:lvl>
  </w:abstractNum>
  <w:abstractNum w:abstractNumId="14">
    <w:nsid w:val="73A56485"/>
    <w:multiLevelType w:val="multilevel"/>
    <w:tmpl w:val="9A3EB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A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EB24B05"/>
    <w:multiLevelType w:val="hybridMultilevel"/>
    <w:tmpl w:val="CFA81F66"/>
    <w:lvl w:ilvl="0" w:tplc="1F2AD8C8">
      <w:start w:val="4"/>
      <w:numFmt w:val="decimal"/>
      <w:lvlText w:val="%1."/>
      <w:lvlJc w:val="left"/>
      <w:pPr>
        <w:tabs>
          <w:tab w:val="num" w:pos="369"/>
        </w:tabs>
        <w:ind w:left="369" w:hanging="369"/>
      </w:pPr>
      <w:rPr>
        <w:rFonts w:ascii="Bookman Old Style" w:hAnsi="Bookman Old Style" w:cs="Times New Roman" w:hint="default"/>
        <w:b w:val="0"/>
        <w:i w:val="0"/>
        <w:sz w:val="16"/>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15"/>
  </w:num>
  <w:num w:numId="4">
    <w:abstractNumId w:val="13"/>
  </w:num>
  <w:num w:numId="5">
    <w:abstractNumId w:val="8"/>
  </w:num>
  <w:num w:numId="6">
    <w:abstractNumId w:val="7"/>
  </w:num>
  <w:num w:numId="7">
    <w:abstractNumId w:val="2"/>
  </w:num>
  <w:num w:numId="8">
    <w:abstractNumId w:val="2"/>
  </w:num>
  <w:num w:numId="9">
    <w:abstractNumId w:val="11"/>
  </w:num>
  <w:num w:numId="10">
    <w:abstractNumId w:val="12"/>
  </w:num>
  <w:num w:numId="11">
    <w:abstractNumId w:val="5"/>
  </w:num>
  <w:num w:numId="12">
    <w:abstractNumId w:val="16"/>
  </w:num>
  <w:num w:numId="13">
    <w:abstractNumId w:val="3"/>
  </w:num>
  <w:num w:numId="14">
    <w:abstractNumId w:val="6"/>
  </w:num>
  <w:num w:numId="15">
    <w:abstractNumId w:val="4"/>
  </w:num>
  <w:num w:numId="16">
    <w:abstractNumId w:val="10"/>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embedSystemFonts/>
  <w:proofState w:spelling="clean" w:grammar="clean"/>
  <w:stylePaneFormatFilter w:val="3F01"/>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F33360"/>
    <w:rsid w:val="0000170F"/>
    <w:rsid w:val="000130B3"/>
    <w:rsid w:val="00013A3D"/>
    <w:rsid w:val="000205FD"/>
    <w:rsid w:val="0002081A"/>
    <w:rsid w:val="00025F48"/>
    <w:rsid w:val="00027B58"/>
    <w:rsid w:val="00030868"/>
    <w:rsid w:val="00047304"/>
    <w:rsid w:val="0004794E"/>
    <w:rsid w:val="00052D1C"/>
    <w:rsid w:val="000614B8"/>
    <w:rsid w:val="00061F6F"/>
    <w:rsid w:val="00064BBA"/>
    <w:rsid w:val="000752FD"/>
    <w:rsid w:val="00077AFC"/>
    <w:rsid w:val="00080F20"/>
    <w:rsid w:val="000842FA"/>
    <w:rsid w:val="000846E3"/>
    <w:rsid w:val="000846EE"/>
    <w:rsid w:val="000901A0"/>
    <w:rsid w:val="000903D9"/>
    <w:rsid w:val="000A0106"/>
    <w:rsid w:val="000A2A31"/>
    <w:rsid w:val="000A69C9"/>
    <w:rsid w:val="000B1986"/>
    <w:rsid w:val="000D32B0"/>
    <w:rsid w:val="000D43B9"/>
    <w:rsid w:val="000D612B"/>
    <w:rsid w:val="000F3D20"/>
    <w:rsid w:val="000F4E5C"/>
    <w:rsid w:val="0010358B"/>
    <w:rsid w:val="00117AAE"/>
    <w:rsid w:val="00117E27"/>
    <w:rsid w:val="001238E5"/>
    <w:rsid w:val="00127D52"/>
    <w:rsid w:val="00136AE6"/>
    <w:rsid w:val="001406E8"/>
    <w:rsid w:val="001435A7"/>
    <w:rsid w:val="001445EB"/>
    <w:rsid w:val="001506F3"/>
    <w:rsid w:val="00151968"/>
    <w:rsid w:val="00167DAA"/>
    <w:rsid w:val="0017373B"/>
    <w:rsid w:val="00173FFC"/>
    <w:rsid w:val="00184ABB"/>
    <w:rsid w:val="0018781E"/>
    <w:rsid w:val="001A332C"/>
    <w:rsid w:val="001A701B"/>
    <w:rsid w:val="001B706F"/>
    <w:rsid w:val="001D7F55"/>
    <w:rsid w:val="001F79C0"/>
    <w:rsid w:val="00201E9F"/>
    <w:rsid w:val="00207CFA"/>
    <w:rsid w:val="00210B00"/>
    <w:rsid w:val="00213A89"/>
    <w:rsid w:val="00213AAD"/>
    <w:rsid w:val="0022006D"/>
    <w:rsid w:val="00227E3A"/>
    <w:rsid w:val="002349C3"/>
    <w:rsid w:val="00240778"/>
    <w:rsid w:val="00244093"/>
    <w:rsid w:val="00254F60"/>
    <w:rsid w:val="00265EFC"/>
    <w:rsid w:val="00270742"/>
    <w:rsid w:val="00271A18"/>
    <w:rsid w:val="00273228"/>
    <w:rsid w:val="00277C37"/>
    <w:rsid w:val="00280316"/>
    <w:rsid w:val="0028541B"/>
    <w:rsid w:val="002A3D3A"/>
    <w:rsid w:val="002A52CB"/>
    <w:rsid w:val="002B11DD"/>
    <w:rsid w:val="002C3261"/>
    <w:rsid w:val="002C4C31"/>
    <w:rsid w:val="002C694F"/>
    <w:rsid w:val="002D080C"/>
    <w:rsid w:val="002D6237"/>
    <w:rsid w:val="002E0CA0"/>
    <w:rsid w:val="002E1EF2"/>
    <w:rsid w:val="002E4497"/>
    <w:rsid w:val="00300F1C"/>
    <w:rsid w:val="00306B79"/>
    <w:rsid w:val="00311B52"/>
    <w:rsid w:val="00313F7E"/>
    <w:rsid w:val="003201B4"/>
    <w:rsid w:val="00324793"/>
    <w:rsid w:val="0033035F"/>
    <w:rsid w:val="00332CE1"/>
    <w:rsid w:val="00345198"/>
    <w:rsid w:val="0035216B"/>
    <w:rsid w:val="0035700B"/>
    <w:rsid w:val="00357609"/>
    <w:rsid w:val="00360694"/>
    <w:rsid w:val="00367BE4"/>
    <w:rsid w:val="00376307"/>
    <w:rsid w:val="00381B46"/>
    <w:rsid w:val="00392D4A"/>
    <w:rsid w:val="003967A3"/>
    <w:rsid w:val="003B4BFE"/>
    <w:rsid w:val="003B5BEB"/>
    <w:rsid w:val="003B67EE"/>
    <w:rsid w:val="003C12B6"/>
    <w:rsid w:val="003C680C"/>
    <w:rsid w:val="003D6A61"/>
    <w:rsid w:val="003E4F1E"/>
    <w:rsid w:val="003E7874"/>
    <w:rsid w:val="003F3FB2"/>
    <w:rsid w:val="003F68F0"/>
    <w:rsid w:val="0040209D"/>
    <w:rsid w:val="00407C80"/>
    <w:rsid w:val="0041479A"/>
    <w:rsid w:val="00415CAF"/>
    <w:rsid w:val="00417EC0"/>
    <w:rsid w:val="00421A67"/>
    <w:rsid w:val="0042781D"/>
    <w:rsid w:val="00430038"/>
    <w:rsid w:val="00433274"/>
    <w:rsid w:val="00434BED"/>
    <w:rsid w:val="00441BBF"/>
    <w:rsid w:val="00453035"/>
    <w:rsid w:val="004618EC"/>
    <w:rsid w:val="00472EEC"/>
    <w:rsid w:val="00475704"/>
    <w:rsid w:val="00480DC5"/>
    <w:rsid w:val="00487879"/>
    <w:rsid w:val="00490E0C"/>
    <w:rsid w:val="004961EE"/>
    <w:rsid w:val="004A0604"/>
    <w:rsid w:val="004A2D5D"/>
    <w:rsid w:val="004A4429"/>
    <w:rsid w:val="004A5C02"/>
    <w:rsid w:val="004A65EB"/>
    <w:rsid w:val="004B0537"/>
    <w:rsid w:val="004B1B4E"/>
    <w:rsid w:val="004C4A08"/>
    <w:rsid w:val="004D334A"/>
    <w:rsid w:val="004D36B1"/>
    <w:rsid w:val="004D3AE9"/>
    <w:rsid w:val="004D6656"/>
    <w:rsid w:val="004E554A"/>
    <w:rsid w:val="004E7F58"/>
    <w:rsid w:val="004F1057"/>
    <w:rsid w:val="004F2486"/>
    <w:rsid w:val="004F62E3"/>
    <w:rsid w:val="00500328"/>
    <w:rsid w:val="00500E62"/>
    <w:rsid w:val="00504C0F"/>
    <w:rsid w:val="00513D96"/>
    <w:rsid w:val="005259D8"/>
    <w:rsid w:val="0053198E"/>
    <w:rsid w:val="005368F4"/>
    <w:rsid w:val="005400C5"/>
    <w:rsid w:val="00542254"/>
    <w:rsid w:val="00543B23"/>
    <w:rsid w:val="00550F48"/>
    <w:rsid w:val="0055135F"/>
    <w:rsid w:val="00556333"/>
    <w:rsid w:val="00565478"/>
    <w:rsid w:val="005778F4"/>
    <w:rsid w:val="00577E56"/>
    <w:rsid w:val="0058304E"/>
    <w:rsid w:val="00583511"/>
    <w:rsid w:val="00596323"/>
    <w:rsid w:val="00596F7C"/>
    <w:rsid w:val="005A5937"/>
    <w:rsid w:val="005C09D4"/>
    <w:rsid w:val="005D19AF"/>
    <w:rsid w:val="005D3E6A"/>
    <w:rsid w:val="005D7D94"/>
    <w:rsid w:val="005E208D"/>
    <w:rsid w:val="005F3BE5"/>
    <w:rsid w:val="005F6694"/>
    <w:rsid w:val="00622376"/>
    <w:rsid w:val="006223A2"/>
    <w:rsid w:val="006235DE"/>
    <w:rsid w:val="006315AC"/>
    <w:rsid w:val="00632252"/>
    <w:rsid w:val="00632913"/>
    <w:rsid w:val="006350C6"/>
    <w:rsid w:val="00636985"/>
    <w:rsid w:val="00644D7E"/>
    <w:rsid w:val="00645C58"/>
    <w:rsid w:val="006510A3"/>
    <w:rsid w:val="00651180"/>
    <w:rsid w:val="006762D9"/>
    <w:rsid w:val="00676C65"/>
    <w:rsid w:val="006843E7"/>
    <w:rsid w:val="00687C2E"/>
    <w:rsid w:val="006A25FA"/>
    <w:rsid w:val="006A351D"/>
    <w:rsid w:val="006A4E5A"/>
    <w:rsid w:val="006B035B"/>
    <w:rsid w:val="006B0394"/>
    <w:rsid w:val="006E2A86"/>
    <w:rsid w:val="006E2E65"/>
    <w:rsid w:val="006F12E7"/>
    <w:rsid w:val="00702884"/>
    <w:rsid w:val="00713BBF"/>
    <w:rsid w:val="00714AB8"/>
    <w:rsid w:val="0072271B"/>
    <w:rsid w:val="0074328E"/>
    <w:rsid w:val="007542B6"/>
    <w:rsid w:val="00755EC4"/>
    <w:rsid w:val="00756606"/>
    <w:rsid w:val="00760534"/>
    <w:rsid w:val="00776DF3"/>
    <w:rsid w:val="00780A47"/>
    <w:rsid w:val="00782ADF"/>
    <w:rsid w:val="00782B6B"/>
    <w:rsid w:val="007941CE"/>
    <w:rsid w:val="0079577E"/>
    <w:rsid w:val="00796193"/>
    <w:rsid w:val="007A1B82"/>
    <w:rsid w:val="007B375E"/>
    <w:rsid w:val="007C4120"/>
    <w:rsid w:val="007C5488"/>
    <w:rsid w:val="007D1F59"/>
    <w:rsid w:val="007D5C98"/>
    <w:rsid w:val="007F3923"/>
    <w:rsid w:val="00812E90"/>
    <w:rsid w:val="00814225"/>
    <w:rsid w:val="008145D9"/>
    <w:rsid w:val="00823C1B"/>
    <w:rsid w:val="00827B43"/>
    <w:rsid w:val="00837AF5"/>
    <w:rsid w:val="00843F7F"/>
    <w:rsid w:val="00846DA3"/>
    <w:rsid w:val="00847E56"/>
    <w:rsid w:val="00850AB9"/>
    <w:rsid w:val="00854B1A"/>
    <w:rsid w:val="00860538"/>
    <w:rsid w:val="00863B3A"/>
    <w:rsid w:val="00870529"/>
    <w:rsid w:val="00871FDB"/>
    <w:rsid w:val="00886B1B"/>
    <w:rsid w:val="008970FD"/>
    <w:rsid w:val="008A02AD"/>
    <w:rsid w:val="008A0888"/>
    <w:rsid w:val="008A2E4D"/>
    <w:rsid w:val="008A7094"/>
    <w:rsid w:val="008B0B84"/>
    <w:rsid w:val="008B4059"/>
    <w:rsid w:val="008B440A"/>
    <w:rsid w:val="008B60C9"/>
    <w:rsid w:val="008C24CD"/>
    <w:rsid w:val="008E1CF1"/>
    <w:rsid w:val="008E380F"/>
    <w:rsid w:val="008F2C3A"/>
    <w:rsid w:val="008F7355"/>
    <w:rsid w:val="008F73D6"/>
    <w:rsid w:val="00903555"/>
    <w:rsid w:val="00913112"/>
    <w:rsid w:val="00913D21"/>
    <w:rsid w:val="009227B0"/>
    <w:rsid w:val="00926D12"/>
    <w:rsid w:val="0093376A"/>
    <w:rsid w:val="00943F58"/>
    <w:rsid w:val="00945227"/>
    <w:rsid w:val="009567B3"/>
    <w:rsid w:val="00956C48"/>
    <w:rsid w:val="009737DC"/>
    <w:rsid w:val="00977543"/>
    <w:rsid w:val="00987ECD"/>
    <w:rsid w:val="00992ADC"/>
    <w:rsid w:val="009B29E4"/>
    <w:rsid w:val="009C2D45"/>
    <w:rsid w:val="009C6E5F"/>
    <w:rsid w:val="009D0B4C"/>
    <w:rsid w:val="009D30D4"/>
    <w:rsid w:val="009E0BCF"/>
    <w:rsid w:val="009E75FE"/>
    <w:rsid w:val="009F6C6F"/>
    <w:rsid w:val="00A154F6"/>
    <w:rsid w:val="00A16ECF"/>
    <w:rsid w:val="00A239CA"/>
    <w:rsid w:val="00A240C1"/>
    <w:rsid w:val="00A313D4"/>
    <w:rsid w:val="00A32D9C"/>
    <w:rsid w:val="00A34D58"/>
    <w:rsid w:val="00A35E98"/>
    <w:rsid w:val="00A37A1D"/>
    <w:rsid w:val="00A37AAA"/>
    <w:rsid w:val="00A4058A"/>
    <w:rsid w:val="00A51105"/>
    <w:rsid w:val="00A54D47"/>
    <w:rsid w:val="00A57094"/>
    <w:rsid w:val="00A57CC2"/>
    <w:rsid w:val="00A6034A"/>
    <w:rsid w:val="00A620AF"/>
    <w:rsid w:val="00A62C03"/>
    <w:rsid w:val="00A64104"/>
    <w:rsid w:val="00A65FE4"/>
    <w:rsid w:val="00A7224B"/>
    <w:rsid w:val="00A761B8"/>
    <w:rsid w:val="00A765F7"/>
    <w:rsid w:val="00A816BB"/>
    <w:rsid w:val="00A8344D"/>
    <w:rsid w:val="00A870A3"/>
    <w:rsid w:val="00A93DB2"/>
    <w:rsid w:val="00A96693"/>
    <w:rsid w:val="00AA4659"/>
    <w:rsid w:val="00AB2191"/>
    <w:rsid w:val="00AB63CA"/>
    <w:rsid w:val="00AB685B"/>
    <w:rsid w:val="00AC12BB"/>
    <w:rsid w:val="00AC705E"/>
    <w:rsid w:val="00AD616B"/>
    <w:rsid w:val="00AD6D78"/>
    <w:rsid w:val="00AF7BD7"/>
    <w:rsid w:val="00B15608"/>
    <w:rsid w:val="00B1672E"/>
    <w:rsid w:val="00B17B37"/>
    <w:rsid w:val="00B26D59"/>
    <w:rsid w:val="00B31D5D"/>
    <w:rsid w:val="00B335C9"/>
    <w:rsid w:val="00B36685"/>
    <w:rsid w:val="00B46202"/>
    <w:rsid w:val="00B50DC1"/>
    <w:rsid w:val="00B53610"/>
    <w:rsid w:val="00B56DFB"/>
    <w:rsid w:val="00B607F0"/>
    <w:rsid w:val="00B61CF2"/>
    <w:rsid w:val="00B826F0"/>
    <w:rsid w:val="00B8681C"/>
    <w:rsid w:val="00B906AC"/>
    <w:rsid w:val="00B969B8"/>
    <w:rsid w:val="00BA02BF"/>
    <w:rsid w:val="00BA5CBA"/>
    <w:rsid w:val="00BB7663"/>
    <w:rsid w:val="00BC2E22"/>
    <w:rsid w:val="00BC30C6"/>
    <w:rsid w:val="00BC3E54"/>
    <w:rsid w:val="00BC75C0"/>
    <w:rsid w:val="00BC7F46"/>
    <w:rsid w:val="00BD0245"/>
    <w:rsid w:val="00BD111E"/>
    <w:rsid w:val="00BD2B36"/>
    <w:rsid w:val="00BD35B0"/>
    <w:rsid w:val="00BD4A3F"/>
    <w:rsid w:val="00BE11EC"/>
    <w:rsid w:val="00BF331C"/>
    <w:rsid w:val="00C1598C"/>
    <w:rsid w:val="00C2762B"/>
    <w:rsid w:val="00C27CCD"/>
    <w:rsid w:val="00C3439B"/>
    <w:rsid w:val="00C40649"/>
    <w:rsid w:val="00C412DC"/>
    <w:rsid w:val="00C41991"/>
    <w:rsid w:val="00C52914"/>
    <w:rsid w:val="00C53898"/>
    <w:rsid w:val="00C55EE4"/>
    <w:rsid w:val="00C622A3"/>
    <w:rsid w:val="00C8232A"/>
    <w:rsid w:val="00C83FCF"/>
    <w:rsid w:val="00C849C6"/>
    <w:rsid w:val="00C87285"/>
    <w:rsid w:val="00C946D6"/>
    <w:rsid w:val="00CB71F4"/>
    <w:rsid w:val="00CC35AB"/>
    <w:rsid w:val="00CC4843"/>
    <w:rsid w:val="00CC71D6"/>
    <w:rsid w:val="00CD42B4"/>
    <w:rsid w:val="00CE2E00"/>
    <w:rsid w:val="00CE4654"/>
    <w:rsid w:val="00CE7634"/>
    <w:rsid w:val="00D07FB2"/>
    <w:rsid w:val="00D11BC2"/>
    <w:rsid w:val="00D1455B"/>
    <w:rsid w:val="00D17BDC"/>
    <w:rsid w:val="00D21935"/>
    <w:rsid w:val="00D21CF5"/>
    <w:rsid w:val="00D25C1A"/>
    <w:rsid w:val="00D25FC4"/>
    <w:rsid w:val="00D54767"/>
    <w:rsid w:val="00D66D95"/>
    <w:rsid w:val="00D741E9"/>
    <w:rsid w:val="00D9209A"/>
    <w:rsid w:val="00DB5A4E"/>
    <w:rsid w:val="00DB5AD5"/>
    <w:rsid w:val="00DB7DAC"/>
    <w:rsid w:val="00DB7E59"/>
    <w:rsid w:val="00DC2889"/>
    <w:rsid w:val="00DC4DF3"/>
    <w:rsid w:val="00DD5B03"/>
    <w:rsid w:val="00DE0CB9"/>
    <w:rsid w:val="00DE3B3E"/>
    <w:rsid w:val="00DE55D7"/>
    <w:rsid w:val="00DE76DB"/>
    <w:rsid w:val="00DF139B"/>
    <w:rsid w:val="00DF21AB"/>
    <w:rsid w:val="00E03000"/>
    <w:rsid w:val="00E17895"/>
    <w:rsid w:val="00E27936"/>
    <w:rsid w:val="00E31522"/>
    <w:rsid w:val="00E338B5"/>
    <w:rsid w:val="00E37392"/>
    <w:rsid w:val="00E524A7"/>
    <w:rsid w:val="00E65741"/>
    <w:rsid w:val="00E713A9"/>
    <w:rsid w:val="00E75536"/>
    <w:rsid w:val="00E8425B"/>
    <w:rsid w:val="00E849D3"/>
    <w:rsid w:val="00E852D3"/>
    <w:rsid w:val="00E9501C"/>
    <w:rsid w:val="00E967D9"/>
    <w:rsid w:val="00EA0F75"/>
    <w:rsid w:val="00EB76EC"/>
    <w:rsid w:val="00EC155A"/>
    <w:rsid w:val="00EC24BB"/>
    <w:rsid w:val="00EC36A1"/>
    <w:rsid w:val="00EC5084"/>
    <w:rsid w:val="00EE3DD0"/>
    <w:rsid w:val="00EF3B35"/>
    <w:rsid w:val="00EF594C"/>
    <w:rsid w:val="00F011B3"/>
    <w:rsid w:val="00F01597"/>
    <w:rsid w:val="00F07287"/>
    <w:rsid w:val="00F119CC"/>
    <w:rsid w:val="00F13EF0"/>
    <w:rsid w:val="00F17CFD"/>
    <w:rsid w:val="00F211D0"/>
    <w:rsid w:val="00F25FAA"/>
    <w:rsid w:val="00F331B0"/>
    <w:rsid w:val="00F33360"/>
    <w:rsid w:val="00F33D09"/>
    <w:rsid w:val="00F43232"/>
    <w:rsid w:val="00F4517A"/>
    <w:rsid w:val="00F5298A"/>
    <w:rsid w:val="00F53745"/>
    <w:rsid w:val="00F551DE"/>
    <w:rsid w:val="00F5685C"/>
    <w:rsid w:val="00F63105"/>
    <w:rsid w:val="00F74EE1"/>
    <w:rsid w:val="00F940F4"/>
    <w:rsid w:val="00F94C28"/>
    <w:rsid w:val="00F97D27"/>
    <w:rsid w:val="00FA0DD9"/>
    <w:rsid w:val="00FB0E3D"/>
    <w:rsid w:val="00FC31C8"/>
    <w:rsid w:val="00FC4F45"/>
    <w:rsid w:val="00FD2626"/>
    <w:rsid w:val="00FE118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946D6"/>
    <w:pPr>
      <w:jc w:val="both"/>
    </w:pPr>
    <w:rPr>
      <w:sz w:val="24"/>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rsid w:val="00C946D6"/>
    <w:pPr>
      <w:tabs>
        <w:tab w:val="center" w:pos="4153"/>
        <w:tab w:val="right" w:pos="8306"/>
      </w:tabs>
    </w:pPr>
  </w:style>
  <w:style w:type="character" w:customStyle="1" w:styleId="lfejChar">
    <w:name w:val="Élőfej Char"/>
    <w:basedOn w:val="Bekezdsalapbettpusa"/>
    <w:link w:val="lfej"/>
    <w:semiHidden/>
    <w:locked/>
    <w:rPr>
      <w:rFonts w:cs="Times New Roman"/>
      <w:sz w:val="20"/>
      <w:szCs w:val="20"/>
      <w:lang w:eastAsia="en-US"/>
    </w:rPr>
  </w:style>
  <w:style w:type="paragraph" w:styleId="llb">
    <w:name w:val="footer"/>
    <w:basedOn w:val="Norml"/>
    <w:link w:val="llbChar"/>
    <w:rsid w:val="00C946D6"/>
    <w:pPr>
      <w:tabs>
        <w:tab w:val="center" w:pos="4153"/>
        <w:tab w:val="right" w:pos="8306"/>
      </w:tabs>
    </w:pPr>
  </w:style>
  <w:style w:type="character" w:customStyle="1" w:styleId="llbChar">
    <w:name w:val="Élőláb Char"/>
    <w:basedOn w:val="Bekezdsalapbettpusa"/>
    <w:link w:val="llb"/>
    <w:semiHidden/>
    <w:locked/>
    <w:rPr>
      <w:rFonts w:cs="Times New Roman"/>
      <w:sz w:val="20"/>
      <w:szCs w:val="20"/>
      <w:lang w:eastAsia="en-US"/>
    </w:rPr>
  </w:style>
  <w:style w:type="paragraph" w:styleId="Szvegtrzs">
    <w:name w:val="Body Text"/>
    <w:basedOn w:val="Norml"/>
    <w:link w:val="SzvegtrzsChar"/>
    <w:rsid w:val="00C946D6"/>
    <w:rPr>
      <w:sz w:val="20"/>
      <w:lang w:val="en-GB"/>
    </w:rPr>
  </w:style>
  <w:style w:type="character" w:customStyle="1" w:styleId="SzvegtrzsChar">
    <w:name w:val="Szövegtörzs Char"/>
    <w:basedOn w:val="Bekezdsalapbettpusa"/>
    <w:link w:val="Szvegtrzs"/>
    <w:semiHidden/>
    <w:locked/>
    <w:rPr>
      <w:rFonts w:cs="Times New Roman"/>
      <w:sz w:val="20"/>
      <w:szCs w:val="20"/>
      <w:lang w:eastAsia="en-US"/>
    </w:rPr>
  </w:style>
  <w:style w:type="paragraph" w:styleId="Cm">
    <w:name w:val="Title"/>
    <w:basedOn w:val="Norml"/>
    <w:link w:val="CmChar"/>
    <w:qFormat/>
    <w:rsid w:val="00C946D6"/>
    <w:pPr>
      <w:jc w:val="center"/>
    </w:pPr>
    <w:rPr>
      <w:b/>
      <w:sz w:val="28"/>
      <w:lang w:val="en-GB"/>
    </w:rPr>
  </w:style>
  <w:style w:type="character" w:customStyle="1" w:styleId="CmChar">
    <w:name w:val="Cím Char"/>
    <w:basedOn w:val="Bekezdsalapbettpusa"/>
    <w:link w:val="Cm"/>
    <w:locked/>
    <w:rPr>
      <w:rFonts w:ascii="Cambria" w:hAnsi="Cambria" w:cs="Times New Roman"/>
      <w:b/>
      <w:bCs/>
      <w:kern w:val="28"/>
      <w:sz w:val="32"/>
      <w:szCs w:val="32"/>
      <w:lang w:eastAsia="en-US"/>
    </w:rPr>
  </w:style>
  <w:style w:type="paragraph" w:styleId="Alcm">
    <w:name w:val="Subtitle"/>
    <w:basedOn w:val="Norml"/>
    <w:link w:val="AlcmChar"/>
    <w:qFormat/>
    <w:rsid w:val="00C946D6"/>
    <w:pPr>
      <w:jc w:val="center"/>
    </w:pPr>
    <w:rPr>
      <w:b/>
      <w:sz w:val="28"/>
    </w:rPr>
  </w:style>
  <w:style w:type="character" w:customStyle="1" w:styleId="AlcmChar">
    <w:name w:val="Alcím Char"/>
    <w:basedOn w:val="Bekezdsalapbettpusa"/>
    <w:link w:val="Alcm"/>
    <w:locked/>
    <w:rPr>
      <w:rFonts w:ascii="Cambria" w:hAnsi="Cambria" w:cs="Times New Roman"/>
      <w:sz w:val="24"/>
      <w:szCs w:val="24"/>
      <w:lang w:eastAsia="en-US"/>
    </w:rPr>
  </w:style>
  <w:style w:type="paragraph" w:styleId="Szvegtrzsbehzssal">
    <w:name w:val="Body Text Indent"/>
    <w:basedOn w:val="Norml"/>
    <w:link w:val="SzvegtrzsbehzssalChar"/>
    <w:rsid w:val="00C946D6"/>
    <w:pPr>
      <w:ind w:left="720" w:hanging="720"/>
    </w:pPr>
    <w:rPr>
      <w:sz w:val="20"/>
    </w:rPr>
  </w:style>
  <w:style w:type="character" w:customStyle="1" w:styleId="SzvegtrzsbehzssalChar">
    <w:name w:val="Szövegtörzs behúzással Char"/>
    <w:basedOn w:val="Bekezdsalapbettpusa"/>
    <w:link w:val="Szvegtrzsbehzssal"/>
    <w:semiHidden/>
    <w:locked/>
    <w:rPr>
      <w:rFonts w:cs="Times New Roman"/>
      <w:sz w:val="20"/>
      <w:szCs w:val="20"/>
      <w:lang w:eastAsia="en-US"/>
    </w:rPr>
  </w:style>
  <w:style w:type="paragraph" w:styleId="Buborkszveg">
    <w:name w:val="Balloon Text"/>
    <w:basedOn w:val="Norml"/>
    <w:link w:val="BuborkszvegChar"/>
    <w:semiHidden/>
    <w:rsid w:val="006A25FA"/>
    <w:rPr>
      <w:rFonts w:ascii="Tahoma" w:hAnsi="Tahoma" w:cs="Tahoma"/>
      <w:sz w:val="16"/>
      <w:szCs w:val="16"/>
    </w:rPr>
  </w:style>
  <w:style w:type="character" w:customStyle="1" w:styleId="BuborkszvegChar">
    <w:name w:val="Buborékszöveg Char"/>
    <w:basedOn w:val="Bekezdsalapbettpusa"/>
    <w:link w:val="Buborkszveg"/>
    <w:semiHidden/>
    <w:locked/>
    <w:rPr>
      <w:rFonts w:cs="Times New Roman"/>
      <w:sz w:val="2"/>
      <w:lang w:eastAsia="en-US"/>
    </w:rPr>
  </w:style>
  <w:style w:type="paragraph" w:customStyle="1" w:styleId="normal1">
    <w:name w:val="normal 1"/>
    <w:basedOn w:val="Norml"/>
    <w:rsid w:val="00C946D6"/>
    <w:pPr>
      <w:spacing w:after="120"/>
      <w:ind w:left="720" w:hanging="720"/>
    </w:pPr>
    <w:rPr>
      <w:sz w:val="20"/>
      <w:lang w:val="en-GB"/>
    </w:rPr>
  </w:style>
  <w:style w:type="paragraph" w:styleId="Dokumentumtrkp">
    <w:name w:val="Document Map"/>
    <w:basedOn w:val="Norml"/>
    <w:link w:val="DokumentumtrkpChar"/>
    <w:semiHidden/>
    <w:rsid w:val="00434BED"/>
    <w:pPr>
      <w:shd w:val="clear" w:color="auto" w:fill="000080"/>
    </w:pPr>
    <w:rPr>
      <w:rFonts w:ascii="Tahoma" w:hAnsi="Tahoma" w:cs="Tahoma"/>
      <w:sz w:val="20"/>
    </w:rPr>
  </w:style>
  <w:style w:type="character" w:customStyle="1" w:styleId="DokumentumtrkpChar">
    <w:name w:val="Dokumentumtérkép Char"/>
    <w:basedOn w:val="Bekezdsalapbettpusa"/>
    <w:link w:val="Dokumentumtrkp"/>
    <w:semiHidden/>
    <w:locked/>
    <w:rPr>
      <w:rFonts w:cs="Times New Roman"/>
      <w:sz w:val="2"/>
      <w:lang w:eastAsia="en-US"/>
    </w:rPr>
  </w:style>
  <w:style w:type="table" w:styleId="Rcsostblzat">
    <w:name w:val="Table Grid"/>
    <w:basedOn w:val="Normltblzat"/>
    <w:rsid w:val="00B335C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rsid w:val="00013A3D"/>
    <w:pPr>
      <w:jc w:val="left"/>
    </w:pPr>
    <w:rPr>
      <w:rFonts w:ascii="Courier New" w:hAnsi="Courier New" w:cs="Courier New"/>
      <w:sz w:val="20"/>
      <w:lang w:eastAsia="hu-HU"/>
    </w:rPr>
  </w:style>
  <w:style w:type="character" w:customStyle="1" w:styleId="CsakszvegChar">
    <w:name w:val="Csak szöveg Char"/>
    <w:basedOn w:val="Bekezdsalapbettpusa"/>
    <w:link w:val="Csakszveg"/>
    <w:semiHidden/>
    <w:locked/>
    <w:rPr>
      <w:rFonts w:ascii="Courier New" w:hAnsi="Courier New" w:cs="Courier New"/>
      <w:sz w:val="20"/>
      <w:szCs w:val="20"/>
      <w:lang w:eastAsia="en-US"/>
    </w:rPr>
  </w:style>
  <w:style w:type="paragraph" w:styleId="NormlWeb">
    <w:name w:val="Normal (Web)"/>
    <w:basedOn w:val="Norml"/>
    <w:rsid w:val="00A870A3"/>
    <w:pPr>
      <w:spacing w:before="100" w:beforeAutospacing="1" w:after="100" w:afterAutospacing="1"/>
      <w:jc w:val="left"/>
    </w:pPr>
    <w:rPr>
      <w:szCs w:val="24"/>
      <w:lang w:eastAsia="hu-HU"/>
    </w:rPr>
  </w:style>
  <w:style w:type="paragraph" w:customStyle="1" w:styleId="Revision">
    <w:name w:val="Revision"/>
    <w:hidden/>
    <w:semiHidden/>
    <w:rsid w:val="003B4BFE"/>
    <w:rPr>
      <w:sz w:val="24"/>
      <w:lang w:eastAsia="en-US"/>
    </w:rPr>
  </w:style>
  <w:style w:type="character" w:styleId="Jegyzethivatkozs">
    <w:name w:val="annotation reference"/>
    <w:basedOn w:val="Bekezdsalapbettpusa"/>
    <w:rsid w:val="00AF7BD7"/>
    <w:rPr>
      <w:rFonts w:cs="Times New Roman"/>
      <w:sz w:val="16"/>
      <w:szCs w:val="16"/>
    </w:rPr>
  </w:style>
  <w:style w:type="paragraph" w:styleId="Jegyzetszveg">
    <w:name w:val="annotation text"/>
    <w:basedOn w:val="Norml"/>
    <w:link w:val="JegyzetszvegChar"/>
    <w:rsid w:val="00AF7BD7"/>
    <w:rPr>
      <w:sz w:val="20"/>
    </w:rPr>
  </w:style>
  <w:style w:type="character" w:customStyle="1" w:styleId="JegyzetszvegChar">
    <w:name w:val="Jegyzetszöveg Char"/>
    <w:basedOn w:val="Bekezdsalapbettpusa"/>
    <w:link w:val="Jegyzetszveg"/>
    <w:locked/>
    <w:rsid w:val="00AF7BD7"/>
    <w:rPr>
      <w:rFonts w:cs="Times New Roman"/>
      <w:lang w:eastAsia="en-US"/>
    </w:rPr>
  </w:style>
  <w:style w:type="paragraph" w:styleId="Megjegyzstrgya">
    <w:name w:val="annotation subject"/>
    <w:basedOn w:val="Jegyzetszveg"/>
    <w:next w:val="Jegyzetszveg"/>
    <w:link w:val="MegjegyzstrgyaChar"/>
    <w:rsid w:val="00AF7BD7"/>
    <w:rPr>
      <w:b/>
      <w:bCs/>
    </w:rPr>
  </w:style>
  <w:style w:type="character" w:customStyle="1" w:styleId="MegjegyzstrgyaChar">
    <w:name w:val="Megjegyzés tárgya Char"/>
    <w:basedOn w:val="JegyzetszvegChar"/>
    <w:link w:val="Megjegyzstrgya"/>
    <w:locked/>
    <w:rsid w:val="00AF7BD7"/>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799</Words>
  <Characters>5515</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1158 Budapest Gergő utca 34</vt:lpstr>
    </vt:vector>
  </TitlesOfParts>
  <Company>hatholdas pagony</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1158 Budapest Gergő utca 34</dc:title>
  <dc:creator>piglet</dc:creator>
  <cp:lastModifiedBy>Windows-felhasználó</cp:lastModifiedBy>
  <cp:revision>3</cp:revision>
  <cp:lastPrinted>2015-11-12T12:14:00Z</cp:lastPrinted>
  <dcterms:created xsi:type="dcterms:W3CDTF">2018-09-06T11:00:00Z</dcterms:created>
  <dcterms:modified xsi:type="dcterms:W3CDTF">2018-09-06T11:02:00Z</dcterms:modified>
</cp:coreProperties>
</file>