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F5" w:rsidRDefault="005E29F5" w:rsidP="005E29F5">
      <w:pPr>
        <w:jc w:val="center"/>
        <w:rPr>
          <w:b/>
          <w:sz w:val="24"/>
        </w:rPr>
      </w:pPr>
      <w:r w:rsidRPr="00C16978">
        <w:rPr>
          <w:b/>
          <w:sz w:val="24"/>
        </w:rPr>
        <w:t>Értékesítési szempontból fontosabb ügyviteli folyamatbeli változá</w:t>
      </w:r>
      <w:bookmarkStart w:id="0" w:name="_GoBack"/>
      <w:bookmarkEnd w:id="0"/>
      <w:r w:rsidRPr="00C16978">
        <w:rPr>
          <w:b/>
          <w:sz w:val="24"/>
        </w:rPr>
        <w:t>s</w:t>
      </w:r>
      <w:r w:rsidR="00B05224" w:rsidRPr="00C16978">
        <w:rPr>
          <w:b/>
          <w:sz w:val="24"/>
        </w:rPr>
        <w:t>ok</w:t>
      </w:r>
      <w:r w:rsidR="00C16978" w:rsidRPr="00C16978">
        <w:rPr>
          <w:b/>
          <w:sz w:val="24"/>
        </w:rPr>
        <w:t xml:space="preserve"> és gyako</w:t>
      </w:r>
      <w:r w:rsidR="00354E30">
        <w:rPr>
          <w:b/>
          <w:sz w:val="24"/>
        </w:rPr>
        <w:t>ri hibák kezelése a Fundamenta-</w:t>
      </w:r>
      <w:r w:rsidR="00C16978" w:rsidRPr="00C16978">
        <w:rPr>
          <w:b/>
          <w:sz w:val="24"/>
        </w:rPr>
        <w:t xml:space="preserve">Lakáskassza </w:t>
      </w:r>
      <w:proofErr w:type="spellStart"/>
      <w:r w:rsidR="00C16978" w:rsidRPr="00C16978">
        <w:rPr>
          <w:b/>
          <w:sz w:val="24"/>
        </w:rPr>
        <w:t>Zrt-nél</w:t>
      </w:r>
      <w:proofErr w:type="spellEnd"/>
    </w:p>
    <w:p w:rsidR="00C16978" w:rsidRPr="00C16978" w:rsidRDefault="00C16978" w:rsidP="005E29F5">
      <w:pPr>
        <w:jc w:val="center"/>
        <w:rPr>
          <w:b/>
          <w:sz w:val="24"/>
        </w:rPr>
      </w:pPr>
      <w:r>
        <w:rPr>
          <w:b/>
          <w:sz w:val="24"/>
        </w:rPr>
        <w:t>2017.május 5.</w:t>
      </w:r>
    </w:p>
    <w:bookmarkStart w:id="1" w:name="_Toc481684114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45794885"/>
        <w:docPartObj>
          <w:docPartGallery w:val="Table of Contents"/>
          <w:docPartUnique/>
        </w:docPartObj>
      </w:sdtPr>
      <w:sdtEndPr/>
      <w:sdtContent>
        <w:p w:rsidR="00480B25" w:rsidRDefault="00480B25">
          <w:pPr>
            <w:pStyle w:val="Tartalomjegyzkcmsora"/>
          </w:pPr>
          <w:r>
            <w:t>Tartalom</w:t>
          </w:r>
        </w:p>
        <w:p w:rsidR="00480B25" w:rsidRDefault="00480B25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684460" w:history="1">
            <w:r w:rsidRPr="00516BF0">
              <w:rPr>
                <w:rStyle w:val="Hiperhivatkozs"/>
                <w:noProof/>
              </w:rPr>
              <w:t>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516BF0">
              <w:rPr>
                <w:rStyle w:val="Hiperhivatkozs"/>
                <w:noProof/>
              </w:rPr>
              <w:t>Pénzforgalmat érintő változások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_Toc481684460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61" w:history="1">
            <w:r w:rsidR="00480B25" w:rsidRPr="00516BF0">
              <w:rPr>
                <w:rStyle w:val="Hiperhivatkozs"/>
                <w:noProof/>
              </w:rPr>
              <w:t>1.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Csoportos beszedési megbízás a kiutalási időszakban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_Toc481684461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2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62" w:history="1">
            <w:r w:rsidR="00480B25" w:rsidRPr="00516BF0">
              <w:rPr>
                <w:rStyle w:val="Hiperhivatkozs"/>
                <w:noProof/>
              </w:rPr>
              <w:t>2.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Havi rendszeres megtakarítások fizetése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_Toc481684462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2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63" w:history="1">
            <w:r w:rsidR="00480B25" w:rsidRPr="00516BF0">
              <w:rPr>
                <w:rStyle w:val="Hiperhivatkozs"/>
                <w:noProof/>
              </w:rPr>
              <w:t>II.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Számlaforgalmat érintő változások: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_Toc481684463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2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64" w:history="1">
            <w:r w:rsidR="00480B25" w:rsidRPr="00516BF0">
              <w:rPr>
                <w:rStyle w:val="Hiperhivatkozs"/>
                <w:noProof/>
              </w:rPr>
              <w:t>1.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Cafetériából történő hitel befizetések kezelése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_Toc481684464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2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65" w:history="1">
            <w:r w:rsidR="00480B25" w:rsidRPr="00516BF0">
              <w:rPr>
                <w:rStyle w:val="Hiperhivatkozs"/>
                <w:noProof/>
              </w:rPr>
              <w:t>2.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Kiutalást érintő változások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_Toc481684465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2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66" w:history="1">
            <w:r w:rsidR="00480B25" w:rsidRPr="00516BF0">
              <w:rPr>
                <w:rStyle w:val="Hiperhivatkozs"/>
                <w:noProof/>
              </w:rPr>
              <w:t>a)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Hitelkérelemmel együtt érkező szerződéses összeg módosítása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_Toc481684466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2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67" w:history="1">
            <w:r w:rsidR="00480B25" w:rsidRPr="00516BF0">
              <w:rPr>
                <w:rStyle w:val="Hiperhivatkozs"/>
                <w:noProof/>
              </w:rPr>
              <w:t>b)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Kiutalási és felmondási időszakban történő átruházás/ kedvezményezett változás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_Toc481684467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3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68" w:history="1">
            <w:r w:rsidR="00480B25" w:rsidRPr="00516BF0">
              <w:rPr>
                <w:rStyle w:val="Hiperhivatkozs"/>
                <w:noProof/>
              </w:rPr>
              <w:t>c)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Törtévi állami támogatás kifizetési helyének megadása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_Toc481684468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3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69" w:history="1">
            <w:r w:rsidR="00480B25" w:rsidRPr="00516BF0">
              <w:rPr>
                <w:rStyle w:val="Hiperhivatkozs"/>
                <w:noProof/>
              </w:rPr>
              <w:t>d)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Közeli hozzátartozóra vonatkozó nyilatkozat (KHT) kitöltése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_Toc481684469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3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70" w:history="1">
            <w:r w:rsidR="00480B25" w:rsidRPr="00516BF0">
              <w:rPr>
                <w:rStyle w:val="Hiperhivatkozs"/>
                <w:noProof/>
              </w:rPr>
              <w:t>III.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Szerződéskezelést érintő változások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_Toc481684470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3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71" w:history="1">
            <w:r w:rsidR="00480B25" w:rsidRPr="00516BF0">
              <w:rPr>
                <w:rStyle w:val="Hiperhivatkozs"/>
                <w:noProof/>
              </w:rPr>
              <w:t>1.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Módosítások elvégzése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_Toc481684471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3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72" w:history="1">
            <w:r w:rsidR="00480B25" w:rsidRPr="00516BF0">
              <w:rPr>
                <w:rStyle w:val="Hiperhivatkozs"/>
                <w:noProof/>
              </w:rPr>
              <w:t>a)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Megosztás a kiutalási időszakban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_Toc481684472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3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73" w:history="1">
            <w:r w:rsidR="00480B25" w:rsidRPr="00516BF0">
              <w:rPr>
                <w:rStyle w:val="Hiperhivatkozs"/>
                <w:noProof/>
              </w:rPr>
              <w:t>b)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4/8 éven túli állami támogatással igényelt (ÁT) felmondásnál az ÁT-t kapó személyének változásának kezelése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_Toc481684473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4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74" w:history="1">
            <w:r w:rsidR="00480B25" w:rsidRPr="00516BF0">
              <w:rPr>
                <w:rStyle w:val="Hiperhivatkozs"/>
                <w:noProof/>
              </w:rPr>
              <w:t>2.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Díjak kezelése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_Toc481684474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4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75" w:history="1">
            <w:r w:rsidR="00480B25" w:rsidRPr="00516BF0">
              <w:rPr>
                <w:rStyle w:val="Hiperhivatkozs"/>
                <w:noProof/>
              </w:rPr>
              <w:t>a)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A módosítási díjak (számlanyitási díjkülönbözet és módosítási díj) a módosítás végrehajtása előtt beérkeznek: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_Toc481684475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4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76" w:history="1">
            <w:r w:rsidR="00480B25" w:rsidRPr="00516BF0">
              <w:rPr>
                <w:rStyle w:val="Hiperhivatkozs"/>
                <w:noProof/>
              </w:rPr>
              <w:t>b)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A módosítási díjak (számlanyitási díjkülönbözet és módosítási díj) a módosítás végrehajtása után érkeznek be a számlára: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_Toc481684476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5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77" w:history="1">
            <w:r w:rsidR="00480B25" w:rsidRPr="00516BF0">
              <w:rPr>
                <w:rStyle w:val="Hiperhivatkozs"/>
                <w:noProof/>
              </w:rPr>
              <w:t>3.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Akciócsomagok kezelése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_Toc481684477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5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78" w:history="1">
            <w:r w:rsidR="00480B25" w:rsidRPr="00516BF0">
              <w:rPr>
                <w:rStyle w:val="Hiperhivatkozs"/>
                <w:noProof/>
              </w:rPr>
              <w:t>4.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Befizetések kezelése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_Toc481684478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5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79" w:history="1">
            <w:r w:rsidR="00480B25" w:rsidRPr="00516BF0">
              <w:rPr>
                <w:rStyle w:val="Hiperhivatkozs"/>
                <w:noProof/>
              </w:rPr>
              <w:t>a)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Befizetések jóváírásának átfutási ideje a különböző fizetési módok esetén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_Toc481684479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5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80" w:history="1">
            <w:r w:rsidR="00480B25" w:rsidRPr="00516BF0">
              <w:rPr>
                <w:rStyle w:val="Hiperhivatkozs"/>
                <w:noProof/>
              </w:rPr>
              <w:t>IV.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Egyéb változások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_Toc481684480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6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81" w:history="1">
            <w:r w:rsidR="00480B25" w:rsidRPr="00516BF0">
              <w:rPr>
                <w:rStyle w:val="Hiperhivatkozs"/>
                <w:noProof/>
              </w:rPr>
              <w:t>1.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Jelzálog értékhatár emelése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_Toc481684481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6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82" w:history="1">
            <w:r w:rsidR="00480B25" w:rsidRPr="00516BF0">
              <w:rPr>
                <w:rStyle w:val="Hiperhivatkozs"/>
                <w:noProof/>
              </w:rPr>
              <w:t>2.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Kalkuláció az eLak rendszerben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_Toc481684482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6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83" w:history="1">
            <w:r w:rsidR="00480B25" w:rsidRPr="00516BF0">
              <w:rPr>
                <w:rStyle w:val="Hiperhivatkozs"/>
                <w:noProof/>
              </w:rPr>
              <w:t>3.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Hiánypótlás folyamatát érintő változások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_Toc481684483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6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84" w:history="1">
            <w:r w:rsidR="00480B25" w:rsidRPr="00516BF0">
              <w:rPr>
                <w:rStyle w:val="Hiperhivatkozs"/>
                <w:noProof/>
              </w:rPr>
              <w:t>a)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Adatkezelési és OBA nyilatkozat miatt hibás ajánlatok kezelése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_Toc481684484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6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BA06F8">
          <w:pPr>
            <w:pStyle w:val="TJ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1684485" w:history="1">
            <w:r w:rsidR="00480B25" w:rsidRPr="00516BF0">
              <w:rPr>
                <w:rStyle w:val="Hiperhivatkozs"/>
                <w:noProof/>
              </w:rPr>
              <w:t>b)</w:t>
            </w:r>
            <w:r w:rsidR="00480B25">
              <w:rPr>
                <w:rFonts w:eastAsiaTheme="minorEastAsia"/>
                <w:noProof/>
                <w:lang w:eastAsia="hu-HU"/>
              </w:rPr>
              <w:tab/>
            </w:r>
            <w:r w:rsidR="00480B25" w:rsidRPr="00516BF0">
              <w:rPr>
                <w:rStyle w:val="Hiperhivatkozs"/>
                <w:noProof/>
              </w:rPr>
              <w:t>Régi típusú, hibás ajánlati nyomtatványok kezelése</w:t>
            </w:r>
            <w:r w:rsidR="00480B25">
              <w:rPr>
                <w:noProof/>
                <w:webHidden/>
              </w:rPr>
              <w:tab/>
            </w:r>
            <w:r w:rsidR="00480B25">
              <w:rPr>
                <w:noProof/>
                <w:webHidden/>
              </w:rPr>
              <w:fldChar w:fldCharType="begin"/>
            </w:r>
            <w:r w:rsidR="00480B25">
              <w:rPr>
                <w:noProof/>
                <w:webHidden/>
              </w:rPr>
              <w:instrText xml:space="preserve"> PAGEREF _Toc481684485 \h </w:instrText>
            </w:r>
            <w:r w:rsidR="00480B25">
              <w:rPr>
                <w:noProof/>
                <w:webHidden/>
              </w:rPr>
            </w:r>
            <w:r w:rsidR="00480B25">
              <w:rPr>
                <w:noProof/>
                <w:webHidden/>
              </w:rPr>
              <w:fldChar w:fldCharType="separate"/>
            </w:r>
            <w:r w:rsidR="00480B25">
              <w:rPr>
                <w:noProof/>
                <w:webHidden/>
              </w:rPr>
              <w:t>7</w:t>
            </w:r>
            <w:r w:rsidR="00480B25">
              <w:rPr>
                <w:noProof/>
                <w:webHidden/>
              </w:rPr>
              <w:fldChar w:fldCharType="end"/>
            </w:r>
          </w:hyperlink>
        </w:p>
        <w:p w:rsidR="00480B25" w:rsidRDefault="00480B25">
          <w:r>
            <w:rPr>
              <w:b/>
              <w:bCs/>
            </w:rPr>
            <w:fldChar w:fldCharType="end"/>
          </w:r>
        </w:p>
      </w:sdtContent>
    </w:sdt>
    <w:p w:rsidR="007F11C1" w:rsidRDefault="004F1324" w:rsidP="004F1324">
      <w:pPr>
        <w:pStyle w:val="Cmsor1"/>
        <w:numPr>
          <w:ilvl w:val="0"/>
          <w:numId w:val="11"/>
        </w:numPr>
      </w:pPr>
      <w:bookmarkStart w:id="2" w:name="_Toc481684460"/>
      <w:r>
        <w:lastRenderedPageBreak/>
        <w:t>Pénzforgalmat érintő változások</w:t>
      </w:r>
      <w:bookmarkEnd w:id="1"/>
      <w:bookmarkEnd w:id="2"/>
    </w:p>
    <w:p w:rsidR="004F1324" w:rsidRPr="005E29F5" w:rsidRDefault="004F1324" w:rsidP="004F1324">
      <w:pPr>
        <w:pStyle w:val="Cmsor2"/>
        <w:numPr>
          <w:ilvl w:val="0"/>
          <w:numId w:val="12"/>
        </w:numPr>
      </w:pPr>
      <w:bookmarkStart w:id="3" w:name="_Toc481684461"/>
      <w:r>
        <w:t>Csoportos beszedési megbízás a kiutalási időszakban</w:t>
      </w:r>
      <w:bookmarkEnd w:id="3"/>
    </w:p>
    <w:p w:rsidR="003763AD" w:rsidRDefault="003763AD" w:rsidP="00B03B5E">
      <w:pPr>
        <w:pStyle w:val="Listaszerbekezds"/>
        <w:numPr>
          <w:ilvl w:val="0"/>
          <w:numId w:val="1"/>
        </w:numPr>
        <w:jc w:val="both"/>
      </w:pPr>
      <w:r>
        <w:t>a csoportos beszedési megbízás</w:t>
      </w:r>
      <w:r w:rsidR="00B94FE1">
        <w:t xml:space="preserve"> (CSOB)</w:t>
      </w:r>
      <w:r>
        <w:t xml:space="preserve"> a kiutalási időszakban is él, viszont ha az ügyfél nem válaszol az AVISO levélre</w:t>
      </w:r>
      <w:r w:rsidR="00B94FE1">
        <w:t xml:space="preserve"> és a megtakarítását tovább szeretné fizetni, akkor a kiutalási időszakot követő hónapban a beszedés nem indul el, csak a kiutalási időszak utáni első hónapot követő hónapban folytatódik a csoportos beszedés.</w:t>
      </w:r>
    </w:p>
    <w:p w:rsidR="00B94FE1" w:rsidRDefault="00866640" w:rsidP="00B03B5E">
      <w:pPr>
        <w:pStyle w:val="Listaszerbekezds"/>
        <w:numPr>
          <w:ilvl w:val="1"/>
          <w:numId w:val="1"/>
        </w:numPr>
        <w:jc w:val="both"/>
      </w:pPr>
      <w:r>
        <w:rPr>
          <w:i/>
          <w:u w:val="single"/>
        </w:rPr>
        <w:t>Értékesítő</w:t>
      </w:r>
      <w:r w:rsidR="00B94FE1" w:rsidRPr="005E29F5">
        <w:rPr>
          <w:i/>
          <w:u w:val="single"/>
        </w:rPr>
        <w:t xml:space="preserve"> feladata:</w:t>
      </w:r>
      <w:r w:rsidR="00B94FE1">
        <w:t xml:space="preserve"> a fenti esetben figyelmeztetni </w:t>
      </w:r>
      <w:r w:rsidR="00352CD0">
        <w:t xml:space="preserve">szükséges </w:t>
      </w:r>
      <w:r w:rsidR="00B94FE1">
        <w:t>az ügyfelet, hogy a kiutalási időszakot követő hónapban az ügyfélnek külön kell rendelkeznie a havi megtakarítás befizetéséről az állami támogatás veszteség elkerülése végett, mivel a CSOB a kiutalási időszakot követő hónapban nem hozza el a havi megtakarítást</w:t>
      </w:r>
      <w:r w:rsidR="002B731E">
        <w:t>. Erről az ügyfelet is tájékozt</w:t>
      </w:r>
      <w:r w:rsidR="005747C3">
        <w:t>atja a Fundamenta (FLK).</w:t>
      </w:r>
      <w:r w:rsidR="002B731E">
        <w:t xml:space="preserve"> </w:t>
      </w:r>
    </w:p>
    <w:p w:rsidR="004F1324" w:rsidRPr="004F1324" w:rsidRDefault="004F1324" w:rsidP="004F1324">
      <w:pPr>
        <w:pStyle w:val="Cmsor2"/>
        <w:numPr>
          <w:ilvl w:val="0"/>
          <w:numId w:val="12"/>
        </w:numPr>
      </w:pPr>
      <w:bookmarkStart w:id="4" w:name="_Toc481684462"/>
      <w:r w:rsidRPr="004F1324">
        <w:t>Havi rendszeres megtakarítások fizetése</w:t>
      </w:r>
      <w:bookmarkEnd w:id="4"/>
    </w:p>
    <w:p w:rsidR="005E29F5" w:rsidRDefault="00866640" w:rsidP="00B03B5E">
      <w:pPr>
        <w:pStyle w:val="Listaszerbekezds"/>
        <w:numPr>
          <w:ilvl w:val="0"/>
          <w:numId w:val="1"/>
        </w:numPr>
        <w:jc w:val="both"/>
      </w:pPr>
      <w:r>
        <w:t xml:space="preserve">gyakori hiba, hogy az ügyfelek a rendszeres havi megtakarításokat nem a visszaigazoló levélben feltűntetett </w:t>
      </w:r>
      <w:r w:rsidRPr="00866640">
        <w:t>számlaszám</w:t>
      </w:r>
      <w:r>
        <w:t xml:space="preserve">ra utalják, hanem </w:t>
      </w:r>
      <w:r w:rsidR="00FE5242">
        <w:t>a központi</w:t>
      </w:r>
      <w:r w:rsidR="005E29F5">
        <w:t xml:space="preserve"> számlaszámra</w:t>
      </w:r>
      <w:r w:rsidR="00091C50">
        <w:t xml:space="preserve"> vagy a csoportos beszedési megbízásban látszódó számlaszámra</w:t>
      </w:r>
      <w:r w:rsidR="005E29F5">
        <w:t xml:space="preserve"> </w:t>
      </w:r>
      <w:r>
        <w:t>teljesítik a további havi befizetéseket is</w:t>
      </w:r>
      <w:r w:rsidR="00ED0453">
        <w:t>.</w:t>
      </w:r>
    </w:p>
    <w:p w:rsidR="00866640" w:rsidRDefault="00866640" w:rsidP="00B03B5E">
      <w:pPr>
        <w:pStyle w:val="Listaszerbekezds"/>
        <w:numPr>
          <w:ilvl w:val="1"/>
          <w:numId w:val="1"/>
        </w:numPr>
        <w:jc w:val="both"/>
      </w:pPr>
      <w:r w:rsidRPr="00866640">
        <w:rPr>
          <w:i/>
          <w:u w:val="single"/>
        </w:rPr>
        <w:t>Értékesítő feladata:</w:t>
      </w:r>
      <w:r>
        <w:t xml:space="preserve"> </w:t>
      </w:r>
      <w:r w:rsidR="00461647">
        <w:t>az ügyfél figyelmét szükséges felhívni, hogy a rendszeres havi megtakarításokat az FLK által küldött visszaigazoló levélben feltűntetett számlaszámra utalják.</w:t>
      </w:r>
    </w:p>
    <w:p w:rsidR="003763AD" w:rsidRPr="004F1324" w:rsidRDefault="005E29F5" w:rsidP="004F1324">
      <w:pPr>
        <w:pStyle w:val="Cmsor1"/>
        <w:numPr>
          <w:ilvl w:val="0"/>
          <w:numId w:val="11"/>
        </w:numPr>
      </w:pPr>
      <w:bookmarkStart w:id="5" w:name="_Toc481684463"/>
      <w:r w:rsidRPr="005E29F5">
        <w:t>Számlaforgalmat érintő változások:</w:t>
      </w:r>
      <w:bookmarkEnd w:id="5"/>
    </w:p>
    <w:p w:rsidR="003763AD" w:rsidRPr="004F1324" w:rsidRDefault="00A06A8F" w:rsidP="00EE6057">
      <w:pPr>
        <w:pStyle w:val="Cmsor2"/>
        <w:numPr>
          <w:ilvl w:val="0"/>
          <w:numId w:val="13"/>
        </w:numPr>
      </w:pPr>
      <w:bookmarkStart w:id="6" w:name="_Toc481684464"/>
      <w:proofErr w:type="spellStart"/>
      <w:r w:rsidRPr="004F1324">
        <w:t>Cafetériáb</w:t>
      </w:r>
      <w:r w:rsidR="000339BC" w:rsidRPr="004F1324">
        <w:t>ól</w:t>
      </w:r>
      <w:proofErr w:type="spellEnd"/>
      <w:r w:rsidR="000339BC" w:rsidRPr="004F1324">
        <w:t xml:space="preserve"> történő </w:t>
      </w:r>
      <w:r w:rsidR="00244FAC" w:rsidRPr="004F1324">
        <w:t xml:space="preserve">hitel </w:t>
      </w:r>
      <w:r w:rsidR="000339BC" w:rsidRPr="004F1324">
        <w:t>befizetések kezelése</w:t>
      </w:r>
      <w:bookmarkEnd w:id="6"/>
    </w:p>
    <w:p w:rsidR="00A06A8F" w:rsidRDefault="00A06A8F" w:rsidP="00B03B5E">
      <w:pPr>
        <w:pStyle w:val="Listaszerbekezds"/>
        <w:numPr>
          <w:ilvl w:val="0"/>
          <w:numId w:val="2"/>
        </w:numPr>
        <w:jc w:val="both"/>
      </w:pPr>
      <w:r>
        <w:t xml:space="preserve">az egyösszegű </w:t>
      </w:r>
      <w:proofErr w:type="spellStart"/>
      <w:r>
        <w:t>cafetéria</w:t>
      </w:r>
      <w:proofErr w:type="spellEnd"/>
      <w:r>
        <w:t xml:space="preserve"> befizetés </w:t>
      </w:r>
      <w:r w:rsidR="00FE5242">
        <w:t xml:space="preserve">havonta történő elszámolására </w:t>
      </w:r>
      <w:r>
        <w:t>már nincs lehetőség,</w:t>
      </w:r>
    </w:p>
    <w:p w:rsidR="00253B0D" w:rsidRDefault="00A06A8F" w:rsidP="00B03B5E">
      <w:pPr>
        <w:pStyle w:val="Listaszerbekezds"/>
        <w:numPr>
          <w:ilvl w:val="0"/>
          <w:numId w:val="2"/>
        </w:numPr>
        <w:jc w:val="both"/>
      </w:pPr>
      <w:r>
        <w:t xml:space="preserve">kombi hitelekre is felhasználható a </w:t>
      </w:r>
      <w:proofErr w:type="spellStart"/>
      <w:r>
        <w:t>cafetériából</w:t>
      </w:r>
      <w:proofErr w:type="spellEnd"/>
      <w:r>
        <w:t xml:space="preserve"> </w:t>
      </w:r>
      <w:r w:rsidR="000339BC">
        <w:t>történő</w:t>
      </w:r>
      <w:r>
        <w:t xml:space="preserve"> befizetés</w:t>
      </w:r>
      <w:r w:rsidR="00ED0453">
        <w:t>.</w:t>
      </w:r>
    </w:p>
    <w:p w:rsidR="00C45B4C" w:rsidRDefault="002B731E" w:rsidP="00B03B5E">
      <w:pPr>
        <w:jc w:val="both"/>
        <w:rPr>
          <w:rStyle w:val="Hiperhivatkozs"/>
        </w:rPr>
      </w:pPr>
      <w:r>
        <w:t xml:space="preserve">Az ügyfelek </w:t>
      </w:r>
      <w:r w:rsidR="00253B0D">
        <w:t xml:space="preserve">a </w:t>
      </w:r>
      <w:proofErr w:type="spellStart"/>
      <w:r w:rsidR="00253B0D">
        <w:t>cafetériát</w:t>
      </w:r>
      <w:proofErr w:type="spellEnd"/>
      <w:r w:rsidR="00253B0D">
        <w:t xml:space="preserve"> érintő változásról</w:t>
      </w:r>
      <w:r>
        <w:t xml:space="preserve"> a honlapon található tájékoztatóban is találnak </w:t>
      </w:r>
      <w:r w:rsidR="00253B0D">
        <w:t xml:space="preserve">további </w:t>
      </w:r>
      <w:r>
        <w:t>információt</w:t>
      </w:r>
      <w:r w:rsidR="00200653">
        <w:t xml:space="preserve"> </w:t>
      </w:r>
      <w:r w:rsidR="004F1324">
        <w:t>(</w:t>
      </w:r>
      <w:r w:rsidR="00817083" w:rsidRPr="004F1324">
        <w:t>https://www.fundamenta.hu/dokumentumtar</w:t>
      </w:r>
      <w:r w:rsidR="004F1324">
        <w:t>).</w:t>
      </w:r>
      <w:r w:rsidR="00817083" w:rsidRPr="004F1324">
        <w:t xml:space="preserve"> </w:t>
      </w:r>
    </w:p>
    <w:p w:rsidR="00A06A8F" w:rsidRDefault="00A06A8F" w:rsidP="00B03B5E">
      <w:pPr>
        <w:jc w:val="both"/>
      </w:pPr>
    </w:p>
    <w:p w:rsidR="003763AD" w:rsidRDefault="003763AD" w:rsidP="00EE6057">
      <w:pPr>
        <w:pStyle w:val="Cmsor2"/>
        <w:numPr>
          <w:ilvl w:val="0"/>
          <w:numId w:val="13"/>
        </w:numPr>
      </w:pPr>
      <w:bookmarkStart w:id="7" w:name="_Toc481684465"/>
      <w:r w:rsidRPr="005E29F5">
        <w:t>Kiutalás</w:t>
      </w:r>
      <w:r w:rsidR="004F1324">
        <w:t>t érintő változások</w:t>
      </w:r>
      <w:bookmarkEnd w:id="7"/>
    </w:p>
    <w:p w:rsidR="004F1324" w:rsidRPr="004F1324" w:rsidRDefault="004F1324" w:rsidP="00EE6057">
      <w:pPr>
        <w:pStyle w:val="Cmsor3"/>
        <w:numPr>
          <w:ilvl w:val="0"/>
          <w:numId w:val="23"/>
        </w:numPr>
      </w:pPr>
      <w:bookmarkStart w:id="8" w:name="_Toc481684466"/>
      <w:r>
        <w:t>Hitelkérelemmel együtt érkező szerződéses összeg módosítása</w:t>
      </w:r>
      <w:bookmarkEnd w:id="8"/>
    </w:p>
    <w:p w:rsidR="00A06A8F" w:rsidRDefault="00A06A8F" w:rsidP="00B03B5E">
      <w:pPr>
        <w:pStyle w:val="Listaszerbekezds"/>
        <w:numPr>
          <w:ilvl w:val="0"/>
          <w:numId w:val="3"/>
        </w:numPr>
        <w:jc w:val="both"/>
      </w:pPr>
      <w:r>
        <w:t>hitelkérelemmel együtt érkező szerződéses összeg módosítás esetén jelenleg nem rögtön</w:t>
      </w:r>
      <w:r w:rsidR="00FE5242">
        <w:t>, a módosítás elvégzésekor</w:t>
      </w:r>
      <w:r>
        <w:t xml:space="preserve"> vizsgál</w:t>
      </w:r>
      <w:r w:rsidR="00FA4195">
        <w:t>j</w:t>
      </w:r>
      <w:r w:rsidR="005747C3">
        <w:t>a az Fundamenta</w:t>
      </w:r>
      <w:r>
        <w:t xml:space="preserve"> a kiutalási feltételek teljesülését és emiatt előfordulhat, hogy </w:t>
      </w:r>
      <w:r w:rsidR="00FA4195">
        <w:t>–</w:t>
      </w:r>
      <w:r w:rsidR="0055665D">
        <w:t xml:space="preserve"> </w:t>
      </w:r>
      <w:r w:rsidR="00FA4195">
        <w:t>az adott</w:t>
      </w:r>
      <w:r w:rsidR="00DF2C94">
        <w:t xml:space="preserve"> hónapban még úgy lát</w:t>
      </w:r>
      <w:r w:rsidR="005747C3">
        <w:t>szik</w:t>
      </w:r>
      <w:r w:rsidR="00DF2C94">
        <w:t>, hogy az ügyfél jogosult a lakáskölcsön</w:t>
      </w:r>
      <w:r w:rsidR="00ED0453">
        <w:t>re</w:t>
      </w:r>
      <w:r w:rsidR="00DF2C94">
        <w:t xml:space="preserve">, de a hónap végén, a kiutalási feltételek </w:t>
      </w:r>
      <w:proofErr w:type="spellStart"/>
      <w:r w:rsidR="00DF2C94">
        <w:t>újravizsgálatakor</w:t>
      </w:r>
      <w:proofErr w:type="spellEnd"/>
      <w:r w:rsidR="00DF2C94">
        <w:t xml:space="preserve"> viszont már nem lesz jogosult a kiutalást követő lakáskölcsönre. </w:t>
      </w:r>
      <w:r w:rsidR="00FE5242">
        <w:t xml:space="preserve"> A jelenlegi működés módosulni fog, a rendszer a módosítás elvégzésekor, azonnal fogja vizsgálni a kiutalási feltételek teljesülését</w:t>
      </w:r>
      <w:r w:rsidR="005747C3">
        <w:t>.</w:t>
      </w:r>
      <w:r w:rsidR="00FE5242">
        <w:t xml:space="preserve"> </w:t>
      </w:r>
    </w:p>
    <w:p w:rsidR="00A06A8F" w:rsidRDefault="00866640" w:rsidP="00B03B5E">
      <w:pPr>
        <w:pStyle w:val="Listaszerbekezds"/>
        <w:numPr>
          <w:ilvl w:val="1"/>
          <w:numId w:val="3"/>
        </w:numPr>
        <w:jc w:val="both"/>
      </w:pPr>
      <w:r>
        <w:rPr>
          <w:i/>
          <w:u w:val="single"/>
        </w:rPr>
        <w:t>Értékesítő</w:t>
      </w:r>
      <w:r w:rsidR="00A06A8F" w:rsidRPr="005E29F5">
        <w:rPr>
          <w:i/>
          <w:u w:val="single"/>
        </w:rPr>
        <w:t xml:space="preserve"> feladat</w:t>
      </w:r>
      <w:r>
        <w:rPr>
          <w:i/>
          <w:u w:val="single"/>
        </w:rPr>
        <w:t>a</w:t>
      </w:r>
      <w:r w:rsidR="00A06A8F" w:rsidRPr="005E29F5">
        <w:rPr>
          <w:i/>
          <w:u w:val="single"/>
        </w:rPr>
        <w:t>:</w:t>
      </w:r>
      <w:r w:rsidR="00A06A8F">
        <w:t xml:space="preserve"> szer</w:t>
      </w:r>
      <w:r w:rsidR="001C60B0">
        <w:t xml:space="preserve">ződéses összeg módosítását benyújtó szerződésmódosítási adatlap kitöltésével egy időben szükséges a díjakat befizetni (módosítási díj/ számlanyitási díjkülönbözet), hogy még a módosítás elvégzése előtt megérkezzenek a díjak </w:t>
      </w:r>
      <w:r w:rsidR="00FE5242">
        <w:t xml:space="preserve">annak érdekében, hogy a kiutalási feltételek vizsgálatakor a szerződés továbbra is megfeleljen a kiutalási feltételeknek. </w:t>
      </w:r>
    </w:p>
    <w:p w:rsidR="00EE6057" w:rsidRDefault="00EE6057" w:rsidP="002A14D2">
      <w:pPr>
        <w:pStyle w:val="Cmsor3"/>
        <w:numPr>
          <w:ilvl w:val="0"/>
          <w:numId w:val="23"/>
        </w:numPr>
        <w:jc w:val="both"/>
      </w:pPr>
      <w:bookmarkStart w:id="9" w:name="_Toc481684467"/>
      <w:r>
        <w:lastRenderedPageBreak/>
        <w:t>Kiutalási és felmondási időszakban történő átruházás/ kedvezményezett változás</w:t>
      </w:r>
      <w:bookmarkEnd w:id="9"/>
    </w:p>
    <w:p w:rsidR="00AC5772" w:rsidRDefault="00AC5772" w:rsidP="00B03B5E">
      <w:pPr>
        <w:pStyle w:val="Listaszerbekezds"/>
        <w:numPr>
          <w:ilvl w:val="0"/>
          <w:numId w:val="3"/>
        </w:numPr>
        <w:jc w:val="both"/>
      </w:pPr>
      <w:r>
        <w:t>kiutalási és felmondási időszakban történő átruházás</w:t>
      </w:r>
      <w:r w:rsidR="0055665D">
        <w:t xml:space="preserve"> </w:t>
      </w:r>
      <w:r>
        <w:t xml:space="preserve">/ kedvezményezett változás esetén </w:t>
      </w:r>
      <w:r w:rsidR="00EF5406">
        <w:t>a</w:t>
      </w:r>
      <w:r w:rsidR="005E29F5">
        <w:t xml:space="preserve"> Magyar Államkincstártól </w:t>
      </w:r>
      <w:r w:rsidR="005747C3">
        <w:t xml:space="preserve">(MÁK) </w:t>
      </w:r>
      <w:r w:rsidR="005E29F5">
        <w:t>vár</w:t>
      </w:r>
      <w:r w:rsidR="005747C3">
        <w:t xml:space="preserve"> a Fundamenta </w:t>
      </w:r>
      <w:r w:rsidR="00EF5406">
        <w:t>visszaigazolás</w:t>
      </w:r>
      <w:r w:rsidR="005E29F5">
        <w:t xml:space="preserve">t, emiatt a kiutalási időszak </w:t>
      </w:r>
      <w:r w:rsidR="007F1832">
        <w:t xml:space="preserve">a módosítás beérkezésének és </w:t>
      </w:r>
      <w:r w:rsidR="00FA4195">
        <w:t xml:space="preserve">a </w:t>
      </w:r>
      <w:r w:rsidR="007F1832">
        <w:t>MÁK válaszának függvényében minimum 1 hónappal meghosszabbod</w:t>
      </w:r>
      <w:r w:rsidR="00FE5242">
        <w:t>hat, amennyiben a módosítás a kiutalási időszak utolsó hónapjában történik, vagy a MÁK nem fogadja el az új állami támogatásra jogosult személyt.</w:t>
      </w:r>
    </w:p>
    <w:p w:rsidR="00EE6057" w:rsidRDefault="00EE6057" w:rsidP="00EE6057">
      <w:pPr>
        <w:pStyle w:val="Cmsor3"/>
        <w:numPr>
          <w:ilvl w:val="0"/>
          <w:numId w:val="23"/>
        </w:numPr>
      </w:pPr>
      <w:bookmarkStart w:id="10" w:name="_Toc481684468"/>
      <w:r>
        <w:t>Törtévi állami támogatás kifizetési helyének megadása</w:t>
      </w:r>
      <w:bookmarkEnd w:id="10"/>
    </w:p>
    <w:p w:rsidR="00EF5406" w:rsidRDefault="00EF5406" w:rsidP="00B03B5E">
      <w:pPr>
        <w:pStyle w:val="Listaszerbekezds"/>
        <w:numPr>
          <w:ilvl w:val="0"/>
          <w:numId w:val="3"/>
        </w:numPr>
        <w:jc w:val="both"/>
      </w:pPr>
      <w:r>
        <w:t>Törtévi állami támogatás kifizetés</w:t>
      </w:r>
      <w:r w:rsidR="00B835D0">
        <w:t>i</w:t>
      </w:r>
      <w:r>
        <w:t xml:space="preserve"> helyének megadása: Hitelkiváltás és vásárlás lakáscél esetén </w:t>
      </w:r>
      <w:r w:rsidR="00B835D0">
        <w:t xml:space="preserve">az </w:t>
      </w:r>
      <w:r>
        <w:t>AVISO levélre küldött válaszban szükséges jelölni a törtévi állami támogatás kifizetésének a helyét, hogy meggyorsít</w:t>
      </w:r>
      <w:r w:rsidR="00FA4195">
        <w:t>s</w:t>
      </w:r>
      <w:r>
        <w:t>uk a kifizetés folyamatát.</w:t>
      </w:r>
      <w:r w:rsidR="00B835D0">
        <w:t xml:space="preserve"> Amennyiben ez az adat nem áll a </w:t>
      </w:r>
      <w:r w:rsidR="005747C3">
        <w:t xml:space="preserve">Fundamenta </w:t>
      </w:r>
      <w:r w:rsidR="00B835D0">
        <w:t>rendelkezés</w:t>
      </w:r>
      <w:r w:rsidR="005747C3">
        <w:t>ére</w:t>
      </w:r>
      <w:r w:rsidR="00B835D0">
        <w:t>, akkor bekér</w:t>
      </w:r>
      <w:r w:rsidR="005747C3">
        <w:t>i</w:t>
      </w:r>
      <w:r w:rsidR="00B835D0">
        <w:t xml:space="preserve"> az ügyféltől és addig a szerződés kifizetését </w:t>
      </w:r>
      <w:r w:rsidR="005747C3">
        <w:t xml:space="preserve">sem </w:t>
      </w:r>
      <w:r w:rsidR="00B835D0">
        <w:t>tudj</w:t>
      </w:r>
      <w:r w:rsidR="005747C3">
        <w:t>a a Fundamenta</w:t>
      </w:r>
      <w:r w:rsidR="00B835D0">
        <w:t xml:space="preserve"> teljesíteni.</w:t>
      </w:r>
      <w:r w:rsidR="00FE5242">
        <w:t xml:space="preserve"> </w:t>
      </w:r>
      <w:r w:rsidR="005747C3">
        <w:t>2017 m</w:t>
      </w:r>
      <w:r w:rsidR="00B835D0">
        <w:t>ájus</w:t>
      </w:r>
      <w:r w:rsidR="00FA4195">
        <w:t>á</w:t>
      </w:r>
      <w:r w:rsidR="00B835D0">
        <w:t>tól</w:t>
      </w:r>
      <w:r w:rsidR="00FE5242">
        <w:t xml:space="preserve"> az AVISO nyilatkozatra is rákerül a törtévi állami támogatás kifizetési helyének megadásához szükséges rész úgy, ahogy a jelenlegi felmondási nyilatkozaton megtalálható.</w:t>
      </w:r>
    </w:p>
    <w:p w:rsidR="003763AD" w:rsidRDefault="00866640" w:rsidP="00B03B5E">
      <w:pPr>
        <w:pStyle w:val="Listaszerbekezds"/>
        <w:numPr>
          <w:ilvl w:val="1"/>
          <w:numId w:val="3"/>
        </w:numPr>
        <w:jc w:val="both"/>
      </w:pPr>
      <w:r>
        <w:rPr>
          <w:i/>
          <w:u w:val="single"/>
        </w:rPr>
        <w:t>Értékesítő</w:t>
      </w:r>
      <w:r w:rsidR="00EF5406" w:rsidRPr="005E29F5">
        <w:rPr>
          <w:i/>
          <w:u w:val="single"/>
        </w:rPr>
        <w:t xml:space="preserve"> feladat</w:t>
      </w:r>
      <w:r>
        <w:rPr>
          <w:i/>
          <w:u w:val="single"/>
        </w:rPr>
        <w:t>a</w:t>
      </w:r>
      <w:r w:rsidR="00EF5406" w:rsidRPr="005E29F5">
        <w:rPr>
          <w:i/>
          <w:u w:val="single"/>
        </w:rPr>
        <w:t>:</w:t>
      </w:r>
      <w:r w:rsidR="005E29F5">
        <w:t xml:space="preserve"> </w:t>
      </w:r>
      <w:r w:rsidR="00EF5406">
        <w:t>A többkörös levélküldés elkerülése érdekében érdemes felhívni az ügyfél figyelmét, hogy adja meg az AVISO válaszban a törtévi állami támogatás kifizetési helyét hitelkiváltás és vásárlás lakáscél esetén</w:t>
      </w:r>
      <w:r w:rsidR="00FE5242">
        <w:t xml:space="preserve">. Felmondási kérelem benyújtásakor szintén fontos, hogy ez az információ a kérelem feldolgozásakor </w:t>
      </w:r>
      <w:r w:rsidR="005747C3">
        <w:t xml:space="preserve">rendelkezésre </w:t>
      </w:r>
      <w:r w:rsidR="00FE5242">
        <w:t xml:space="preserve">álljon. </w:t>
      </w:r>
    </w:p>
    <w:p w:rsidR="00EE6057" w:rsidRDefault="00EE6057" w:rsidP="00EE6057">
      <w:pPr>
        <w:pStyle w:val="Cmsor3"/>
        <w:numPr>
          <w:ilvl w:val="0"/>
          <w:numId w:val="23"/>
        </w:numPr>
      </w:pPr>
      <w:bookmarkStart w:id="11" w:name="_Toc481684469"/>
      <w:r>
        <w:t>Közeli hozzátartozóra vonatkozó nyilatkozat (KHT) kitöltése</w:t>
      </w:r>
      <w:bookmarkEnd w:id="11"/>
    </w:p>
    <w:p w:rsidR="00442367" w:rsidRDefault="00442367" w:rsidP="00B03B5E">
      <w:pPr>
        <w:pStyle w:val="Listaszerbekezds"/>
        <w:numPr>
          <w:ilvl w:val="0"/>
          <w:numId w:val="3"/>
        </w:numPr>
        <w:jc w:val="both"/>
      </w:pPr>
      <w:r>
        <w:t>AVISO levélre adandó válasz esetén sok esetben a közeli hozzátartozóra vonatkozó nyilatkozat (KHT) helyett a kedvezményezettet módosítják a szerződésen, mely akár 1 hónappal elcsúsztathatja a kifizetést</w:t>
      </w:r>
    </w:p>
    <w:p w:rsidR="003763AD" w:rsidRPr="000E358D" w:rsidRDefault="00442367" w:rsidP="00B03B5E">
      <w:pPr>
        <w:pStyle w:val="Listaszerbekezds"/>
        <w:numPr>
          <w:ilvl w:val="1"/>
          <w:numId w:val="3"/>
        </w:numPr>
        <w:jc w:val="both"/>
      </w:pPr>
      <w:r w:rsidRPr="000E358D">
        <w:rPr>
          <w:i/>
          <w:u w:val="single"/>
        </w:rPr>
        <w:t>Értékesítő feladata:</w:t>
      </w:r>
      <w:r w:rsidR="00253B0D" w:rsidRPr="000E358D">
        <w:rPr>
          <w:i/>
        </w:rPr>
        <w:t xml:space="preserve"> </w:t>
      </w:r>
      <w:r w:rsidR="00253B0D" w:rsidRPr="000E358D">
        <w:t xml:space="preserve">amennyiben az </w:t>
      </w:r>
      <w:r w:rsidR="005747C3">
        <w:t>állami támogatásra (</w:t>
      </w:r>
      <w:r w:rsidR="00253B0D" w:rsidRPr="000E358D">
        <w:t>ÁT</w:t>
      </w:r>
      <w:r w:rsidR="005747C3">
        <w:t>)</w:t>
      </w:r>
      <w:r w:rsidR="00253B0D" w:rsidRPr="000E358D">
        <w:t xml:space="preserve"> jogosult közeli hozzátartozójának lakáscéljára kívánja az ügyfél felhasználni szerződését, úgy nem szükséges kedvezményezettet módosítani, hanem elegendő Nyilatkozat a lakás-előtakarékossági szerződés közeli hozzátartozó javára történő lakáscélú felhasználásról</w:t>
      </w:r>
      <w:r w:rsidR="00A009CF" w:rsidRPr="000E358D">
        <w:t xml:space="preserve"> </w:t>
      </w:r>
      <w:r w:rsidR="00ED0453">
        <w:t xml:space="preserve">c. </w:t>
      </w:r>
      <w:r w:rsidR="00A009CF" w:rsidRPr="000E358D">
        <w:t>nyomtatványt kitölteni</w:t>
      </w:r>
      <w:r w:rsidR="00ED0453">
        <w:t>.</w:t>
      </w:r>
    </w:p>
    <w:p w:rsidR="003A1814" w:rsidRPr="004F1324" w:rsidRDefault="003A1814" w:rsidP="004F1324">
      <w:pPr>
        <w:pStyle w:val="Cmsor1"/>
        <w:numPr>
          <w:ilvl w:val="0"/>
          <w:numId w:val="11"/>
        </w:numPr>
      </w:pPr>
      <w:bookmarkStart w:id="12" w:name="_Toc481684470"/>
      <w:r w:rsidRPr="00883D35">
        <w:t>Szerződéskezelést érintő változások</w:t>
      </w:r>
      <w:bookmarkEnd w:id="12"/>
    </w:p>
    <w:p w:rsidR="004F1324" w:rsidRPr="004F1324" w:rsidRDefault="004F1324" w:rsidP="00EE6057">
      <w:pPr>
        <w:pStyle w:val="Cmsor2"/>
        <w:numPr>
          <w:ilvl w:val="0"/>
          <w:numId w:val="15"/>
        </w:numPr>
      </w:pPr>
      <w:bookmarkStart w:id="13" w:name="_Toc481684471"/>
      <w:r w:rsidRPr="004F1324">
        <w:t>Módosítások elvégzése</w:t>
      </w:r>
      <w:bookmarkEnd w:id="13"/>
    </w:p>
    <w:p w:rsidR="00335296" w:rsidRDefault="002477B8" w:rsidP="00B03B5E">
      <w:pPr>
        <w:jc w:val="both"/>
      </w:pPr>
      <w:r>
        <w:t xml:space="preserve">A </w:t>
      </w:r>
      <w:r w:rsidR="00335296">
        <w:t>30 napos feldolgozási időt szükséges figyelembe venni. A 30 napos feldolgozási idő az alábbi esetekre lehet kiemelt hatással:</w:t>
      </w:r>
    </w:p>
    <w:p w:rsidR="004F1324" w:rsidRDefault="004F1324" w:rsidP="00EE6057">
      <w:pPr>
        <w:pStyle w:val="Cmsor3"/>
        <w:numPr>
          <w:ilvl w:val="0"/>
          <w:numId w:val="16"/>
        </w:numPr>
      </w:pPr>
      <w:bookmarkStart w:id="14" w:name="_Toc481684472"/>
      <w:r>
        <w:t>Megosztás a kiutalási időszakban</w:t>
      </w:r>
      <w:bookmarkEnd w:id="14"/>
    </w:p>
    <w:p w:rsidR="001D76CF" w:rsidRDefault="00335296" w:rsidP="00B03B5E">
      <w:pPr>
        <w:pStyle w:val="Listaszerbekezds"/>
        <w:numPr>
          <w:ilvl w:val="0"/>
          <w:numId w:val="5"/>
        </w:numPr>
        <w:jc w:val="both"/>
      </w:pPr>
      <w:r w:rsidRPr="001D76CF">
        <w:rPr>
          <w:u w:val="single"/>
        </w:rPr>
        <w:t>Megosztás a kiutalási időszakban:</w:t>
      </w:r>
      <w:r>
        <w:t xml:space="preserve"> a kiutalási időszak utolsó hónapjában kerülni kell a megosztások elvégzését, mert azok végrehajtása a 30 napos feldolgozási időszakba nem minden esetben tudnak beleférni.</w:t>
      </w:r>
      <w:r w:rsidR="001D76CF">
        <w:t xml:space="preserve"> </w:t>
      </w:r>
      <w:r w:rsidR="009D6D52">
        <w:t>A</w:t>
      </w:r>
      <w:r w:rsidR="009D6D52" w:rsidRPr="009D6D52">
        <w:t>mennyiben mégis a kiutalás hónapjában kell a megosztást elvégezni, akkor az a szerződés csak egy hónappal később utalható ki, az eredeti kiutalási dátum nem állítható be újra.</w:t>
      </w:r>
    </w:p>
    <w:p w:rsidR="00EE6057" w:rsidRDefault="00335296" w:rsidP="00EE6057">
      <w:pPr>
        <w:pStyle w:val="Listaszerbekezds"/>
        <w:numPr>
          <w:ilvl w:val="1"/>
          <w:numId w:val="5"/>
        </w:numPr>
        <w:jc w:val="both"/>
      </w:pPr>
      <w:r w:rsidRPr="001D76CF">
        <w:rPr>
          <w:i/>
          <w:u w:val="single"/>
        </w:rPr>
        <w:t>Értékesítő feladata:</w:t>
      </w:r>
      <w:r>
        <w:t xml:space="preserve"> Törekedni </w:t>
      </w:r>
      <w:r w:rsidR="005747C3">
        <w:t xml:space="preserve">kell </w:t>
      </w:r>
      <w:r>
        <w:t>arra, hogy megosztás ne a kiutalási időszak utolsó hónapjában történjen</w:t>
      </w:r>
      <w:r w:rsidR="00E301D5">
        <w:t xml:space="preserve"> (figyelembe véve a 30 napos feldolgozási határidőt is)</w:t>
      </w:r>
      <w:r w:rsidR="00D25393">
        <w:t xml:space="preserve">! </w:t>
      </w:r>
      <w:r w:rsidR="00D25393">
        <w:lastRenderedPageBreak/>
        <w:t xml:space="preserve">Amennyiben a megosztás </w:t>
      </w:r>
      <w:r w:rsidR="00E301D5">
        <w:t xml:space="preserve">mégis </w:t>
      </w:r>
      <w:r w:rsidR="00D25393">
        <w:t>a kiutalási időszak utolsó hónapjában</w:t>
      </w:r>
      <w:r w:rsidR="00E301D5">
        <w:t xml:space="preserve"> érkezik</w:t>
      </w:r>
      <w:r w:rsidR="00D25393">
        <w:t>, úgy a</w:t>
      </w:r>
      <w:r w:rsidR="00E301D5">
        <w:t>nnak feldolgozását a 30 napos feldolgozási határidőt figyelembe véve</w:t>
      </w:r>
      <w:r w:rsidR="005747C3">
        <w:t xml:space="preserve"> a Fundamenta</w:t>
      </w:r>
      <w:r w:rsidR="00E301D5">
        <w:t xml:space="preserve"> nem tudj</w:t>
      </w:r>
      <w:r w:rsidR="005747C3">
        <w:t>a</w:t>
      </w:r>
      <w:r w:rsidR="00E301D5">
        <w:t xml:space="preserve"> garantálni. A feldolgozást előre venni csak nagyon indokolt esetben és külön jelzés alapján </w:t>
      </w:r>
      <w:r w:rsidR="005747C3">
        <w:t>lehetséges</w:t>
      </w:r>
      <w:r w:rsidR="00E301D5">
        <w:t>.</w:t>
      </w:r>
      <w:r w:rsidR="001D76CF">
        <w:t xml:space="preserve"> Az állami támogatás veszteség elkerülése végett az állami támogatás jogosultságát vizsgáló periódusok utolsó hónapjában (a megtakarítási év 6</w:t>
      </w:r>
      <w:proofErr w:type="gramStart"/>
      <w:r w:rsidR="001D76CF">
        <w:t>.,</w:t>
      </w:r>
      <w:proofErr w:type="gramEnd"/>
      <w:r w:rsidR="001D76CF">
        <w:t xml:space="preserve"> 9., és 12. hónapjában) sem érdemes megosztást végezni, mert ilyenkor az ügyfélnek már nem lesz lehetősége a korábbi befizetések pótlására a 30 napos feldolgozási idő </w:t>
      </w:r>
      <w:r w:rsidR="008025F6">
        <w:t xml:space="preserve">és a jövőbeni hatályba lépés </w:t>
      </w:r>
      <w:r w:rsidR="001D76CF">
        <w:t>miatt.</w:t>
      </w:r>
      <w:r w:rsidR="009D6D52">
        <w:t xml:space="preserve"> </w:t>
      </w:r>
      <w:r w:rsidR="009D6D52" w:rsidRPr="009D6D52">
        <w:t xml:space="preserve">A </w:t>
      </w:r>
      <w:r w:rsidR="009D6D52">
        <w:t>régi számlavezető rendszerben</w:t>
      </w:r>
      <w:r w:rsidR="009D6D52" w:rsidRPr="009D6D52">
        <w:t xml:space="preserve"> azonnal létrejöttek a megosztás után az új szerződések és a visszaigazolás is kiment, most viszont jövőbeni hatályba lépéssel jönnek létre, ami mindig a megosztás elvégzését követő hónap elseje, így addig ezek a szerződések várakozó státuszba kerülnek és befizetést is csak a hatályba lépés után lehet rákönyvelni. Amennyiben az eredeti szerződés is változik, a megváltozott adatok azon is a következő hónaptól jelennek meg (pl. ha csökken a SZÖ a megosztás miatt). A visszaigazoló levelek is a hatályba lépéskor kerülnek postázásra.</w:t>
      </w:r>
    </w:p>
    <w:p w:rsidR="00C71F21" w:rsidRPr="00EE6057" w:rsidRDefault="00EE6057" w:rsidP="002A14D2">
      <w:pPr>
        <w:pStyle w:val="Cmsor3"/>
        <w:numPr>
          <w:ilvl w:val="0"/>
          <w:numId w:val="16"/>
        </w:numPr>
        <w:jc w:val="both"/>
      </w:pPr>
      <w:bookmarkStart w:id="15" w:name="_Toc481684473"/>
      <w:r w:rsidRPr="00EE6057">
        <w:t xml:space="preserve">4/8 éven túli </w:t>
      </w:r>
      <w:r>
        <w:t>állami támogatással igényelt (ÁT)</w:t>
      </w:r>
      <w:r w:rsidRPr="00EE6057">
        <w:t xml:space="preserve"> felmondásnál az </w:t>
      </w:r>
      <w:proofErr w:type="spellStart"/>
      <w:r w:rsidRPr="00EE6057">
        <w:t>ÁT</w:t>
      </w:r>
      <w:r w:rsidR="002A14D2">
        <w:t>-t</w:t>
      </w:r>
      <w:proofErr w:type="spellEnd"/>
      <w:r w:rsidR="002A14D2">
        <w:t xml:space="preserve"> kapó személy</w:t>
      </w:r>
      <w:r>
        <w:t xml:space="preserve"> változásának kezelése</w:t>
      </w:r>
      <w:bookmarkEnd w:id="15"/>
    </w:p>
    <w:p w:rsidR="00335296" w:rsidRDefault="00D25393" w:rsidP="00B03B5E">
      <w:pPr>
        <w:pStyle w:val="Listaszerbekezds"/>
        <w:numPr>
          <w:ilvl w:val="0"/>
          <w:numId w:val="5"/>
        </w:numPr>
        <w:jc w:val="both"/>
      </w:pPr>
      <w:r w:rsidRPr="00D25393">
        <w:rPr>
          <w:u w:val="single"/>
        </w:rPr>
        <w:t xml:space="preserve">4/8 éven túli ÁT felmondásnál az </w:t>
      </w:r>
      <w:proofErr w:type="spellStart"/>
      <w:r w:rsidRPr="00D25393">
        <w:rPr>
          <w:u w:val="single"/>
        </w:rPr>
        <w:t>ÁT-t</w:t>
      </w:r>
      <w:proofErr w:type="spellEnd"/>
      <w:r w:rsidRPr="00D25393">
        <w:rPr>
          <w:u w:val="single"/>
        </w:rPr>
        <w:t xml:space="preserve"> kapó személyének változásakor</w:t>
      </w:r>
      <w:r>
        <w:t xml:space="preserve">: amennyiben az ügyfél a gyorsított (30 napos) felmondást választja, akkor az </w:t>
      </w:r>
      <w:proofErr w:type="spellStart"/>
      <w:r>
        <w:t>FLK-nak</w:t>
      </w:r>
      <w:proofErr w:type="spellEnd"/>
      <w:r>
        <w:t xml:space="preserve"> meg kell várnia minden esetben a </w:t>
      </w:r>
      <w:proofErr w:type="spellStart"/>
      <w:r>
        <w:t>MÁK-tól</w:t>
      </w:r>
      <w:proofErr w:type="spellEnd"/>
      <w:r>
        <w:t xml:space="preserve"> jövő visszaigazoló választ, ami rendszerint minden hónap 10-én érkezik meg</w:t>
      </w:r>
      <w:r w:rsidR="008025F6">
        <w:t xml:space="preserve"> a módosítást követő hónapban</w:t>
      </w:r>
      <w:r>
        <w:t>, és csak ezt követően történhet meg a kifizetés. Amennyiben egy felmondást az adott hónap el</w:t>
      </w:r>
      <w:r w:rsidR="008025F6">
        <w:t>ső felében</w:t>
      </w:r>
      <w:r>
        <w:t xml:space="preserve"> adja be az ügyfél</w:t>
      </w:r>
      <w:r w:rsidR="001D76CF">
        <w:t xml:space="preserve">, </w:t>
      </w:r>
      <w:r w:rsidR="008025F6">
        <w:t>abban az esetben</w:t>
      </w:r>
      <w:r w:rsidR="001D76CF">
        <w:t xml:space="preserve"> előfordulhat, hogy a kifizetés kicsúszik a 30 napos határidőből</w:t>
      </w:r>
      <w:r w:rsidR="00C71F21">
        <w:t>.</w:t>
      </w:r>
    </w:p>
    <w:p w:rsidR="001D76CF" w:rsidRPr="00335296" w:rsidRDefault="004F1324" w:rsidP="00EE6057">
      <w:pPr>
        <w:pStyle w:val="Cmsor2"/>
        <w:numPr>
          <w:ilvl w:val="0"/>
          <w:numId w:val="15"/>
        </w:numPr>
      </w:pPr>
      <w:bookmarkStart w:id="16" w:name="_Toc481684474"/>
      <w:r>
        <w:t>Díjak kezelése</w:t>
      </w:r>
      <w:bookmarkEnd w:id="16"/>
    </w:p>
    <w:p w:rsidR="00137965" w:rsidRDefault="00137965" w:rsidP="00B03B5E">
      <w:pPr>
        <w:jc w:val="both"/>
      </w:pPr>
      <w:r w:rsidRPr="007F72D5">
        <w:rPr>
          <w:b/>
        </w:rPr>
        <w:t>Díjak kezelése:</w:t>
      </w:r>
      <w:r w:rsidR="00372A44">
        <w:rPr>
          <w:b/>
        </w:rPr>
        <w:t xml:space="preserve"> </w:t>
      </w:r>
      <w:r>
        <w:t>Alapesetben szerződéses összeg módosítás esetén a kapcsolódó díjakat (módosítási díj, számlanyitási díjkülönbözet) a módosítás elvégzését követő hónapban szükséges befizetnie az ügyfélnek a módosítás végrehajtásáról szóló visszaigazoló levélben részletezett módon, ugyanis a díjak mindig a módosítást követő hónap első munkanapján esedékesek. Kivételt képeznek az alábbi esetek:</w:t>
      </w:r>
    </w:p>
    <w:p w:rsidR="00137965" w:rsidRDefault="00137965" w:rsidP="002A14D2">
      <w:pPr>
        <w:pStyle w:val="Cmsor3"/>
        <w:numPr>
          <w:ilvl w:val="0"/>
          <w:numId w:val="18"/>
        </w:numPr>
        <w:jc w:val="both"/>
      </w:pPr>
      <w:bookmarkStart w:id="17" w:name="_Toc481684475"/>
      <w:r>
        <w:t xml:space="preserve">A módosítási díjak (számlanyitási díjkülönbözet és módosítási díj) </w:t>
      </w:r>
      <w:r w:rsidRPr="00EE6057">
        <w:rPr>
          <w:u w:val="single"/>
        </w:rPr>
        <w:t>a módosítás végrehajtása előtt</w:t>
      </w:r>
      <w:r w:rsidRPr="00EE6057">
        <w:t xml:space="preserve"> beérkeznek</w:t>
      </w:r>
      <w:r>
        <w:t>:</w:t>
      </w:r>
      <w:bookmarkEnd w:id="17"/>
      <w:r>
        <w:t xml:space="preserve"> </w:t>
      </w:r>
    </w:p>
    <w:p w:rsidR="00137965" w:rsidRPr="007F72D5" w:rsidRDefault="00137965" w:rsidP="00B03B5E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b/>
        </w:rPr>
      </w:pPr>
      <w:r w:rsidRPr="007F72D5">
        <w:rPr>
          <w:b/>
        </w:rPr>
        <w:t>Fizetési mód: Csoportos beszedés</w:t>
      </w:r>
    </w:p>
    <w:p w:rsidR="00137965" w:rsidRDefault="00137965" w:rsidP="00B03B5E">
      <w:pPr>
        <w:pStyle w:val="Listaszerbekezds"/>
        <w:ind w:left="1440"/>
        <w:jc w:val="both"/>
      </w:pPr>
      <w:r>
        <w:t>Amennyiben a befizetett összeg túlfizetésként jelentkezik a számlán és fedezi a módosítás miatt felszámított díjat/díjakat, úgy a túlfizetés összegéből a díjak azonnal érvényesítésre kerülnek, csoportos beszedéssel nem hozzuk el a módosítást követő hónapban</w:t>
      </w:r>
    </w:p>
    <w:p w:rsidR="00137965" w:rsidRPr="007F72D5" w:rsidRDefault="00137965" w:rsidP="00B03B5E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b/>
        </w:rPr>
      </w:pPr>
      <w:r w:rsidRPr="007F72D5">
        <w:rPr>
          <w:b/>
        </w:rPr>
        <w:t>Fizetési mód: átutalás, csekk, kártyás befizetés</w:t>
      </w:r>
    </w:p>
    <w:p w:rsidR="00137965" w:rsidRDefault="00137965" w:rsidP="00B03B5E">
      <w:pPr>
        <w:pStyle w:val="Listaszerbekezds"/>
        <w:ind w:left="1440"/>
        <w:jc w:val="both"/>
      </w:pPr>
      <w:r>
        <w:t>Amennyiben a befizetett összeg túlfizetésként jelentkezik a számlán és fedezi a módosítás miatt felszámított díjat/díjakat, úgy a túlfizetés összegéből a díjak azonnal érvényesítésre kerülnek, az ügyfélnek nem kell külön befizetnie a következő hónapban</w:t>
      </w:r>
    </w:p>
    <w:p w:rsidR="00137965" w:rsidRDefault="00137965" w:rsidP="002A14D2">
      <w:pPr>
        <w:pStyle w:val="Cmsor3"/>
        <w:numPr>
          <w:ilvl w:val="0"/>
          <w:numId w:val="18"/>
        </w:numPr>
        <w:jc w:val="both"/>
      </w:pPr>
      <w:bookmarkStart w:id="18" w:name="_Toc481684476"/>
      <w:r>
        <w:lastRenderedPageBreak/>
        <w:t xml:space="preserve">A módosítási díjak (számlanyitási díjkülönbözet és módosítási díj) </w:t>
      </w:r>
      <w:r w:rsidRPr="00EE6057">
        <w:rPr>
          <w:u w:val="single"/>
        </w:rPr>
        <w:t>a módosítás végrehajtása után</w:t>
      </w:r>
      <w:r w:rsidRPr="00EE6057">
        <w:t xml:space="preserve"> érkeznek be a számlára</w:t>
      </w:r>
      <w:r>
        <w:t>:</w:t>
      </w:r>
      <w:bookmarkEnd w:id="18"/>
    </w:p>
    <w:p w:rsidR="00137965" w:rsidRPr="007F72D5" w:rsidRDefault="00137965" w:rsidP="00EE605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b/>
        </w:rPr>
      </w:pPr>
      <w:r w:rsidRPr="007F72D5">
        <w:rPr>
          <w:b/>
        </w:rPr>
        <w:t>Fizetési mód: Csoportos beszedés</w:t>
      </w:r>
    </w:p>
    <w:p w:rsidR="00137965" w:rsidRDefault="00137965" w:rsidP="00B03B5E">
      <w:pPr>
        <w:pStyle w:val="Listaszerbekezds"/>
        <w:ind w:left="1440"/>
        <w:jc w:val="both"/>
      </w:pPr>
      <w:r>
        <w:t>Mivel a díjak már előjegyzésre kerültek a következő hónapra, így függetlenül attól, hogy az ügyfél időközben befizette, csoportos beszedést fogunk indítani a díjak összegére</w:t>
      </w:r>
    </w:p>
    <w:p w:rsidR="00137965" w:rsidRPr="007F72D5" w:rsidRDefault="00137965" w:rsidP="00EE605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b/>
        </w:rPr>
      </w:pPr>
      <w:r w:rsidRPr="007F72D5">
        <w:rPr>
          <w:b/>
        </w:rPr>
        <w:t>Fizetési mód: átutalás, csekk, kártyás befizetés</w:t>
      </w:r>
    </w:p>
    <w:p w:rsidR="00137965" w:rsidRDefault="00137965" w:rsidP="00EE6057">
      <w:pPr>
        <w:pStyle w:val="Listaszerbekezds"/>
        <w:ind w:left="1440"/>
        <w:jc w:val="both"/>
      </w:pPr>
      <w:r>
        <w:t>A díjak az előjegyzés hónapjában lesznek érvényesítve a betétszámla terhére függetlenül attól, hogy az ügyfél az előző hónapban már megfizette a díjakat, emiatt érheti az ügyfelet állami támogatás veszteség</w:t>
      </w:r>
    </w:p>
    <w:p w:rsidR="00EE6057" w:rsidRDefault="00137965" w:rsidP="00B03B5E">
      <w:pPr>
        <w:jc w:val="both"/>
      </w:pPr>
      <w:r w:rsidRPr="007F72D5">
        <w:rPr>
          <w:i/>
          <w:u w:val="single"/>
        </w:rPr>
        <w:t>Értékesítő feladat</w:t>
      </w:r>
      <w:r>
        <w:rPr>
          <w:i/>
          <w:u w:val="single"/>
        </w:rPr>
        <w:t>a</w:t>
      </w:r>
      <w:r>
        <w:t>: Az ügyfelet tájékoztatni szükséges, hogy csak a módosítás visszaigazolását követően fizesse be a díjakat a módosítást visszaigazoló levélben részletezett módon, kivétel a kiutalási időszakban történő módosítások, mivel ott az előzőekben leírtaknak megfelelően fontos, hogy a módosítás elvégzésekor már rendelkezésre álljon a számlán a módosítás miatt felszámítandó díj.</w:t>
      </w:r>
    </w:p>
    <w:p w:rsidR="00137965" w:rsidRDefault="00EE6057" w:rsidP="00EE6057">
      <w:pPr>
        <w:pStyle w:val="Cmsor2"/>
        <w:numPr>
          <w:ilvl w:val="0"/>
          <w:numId w:val="15"/>
        </w:numPr>
      </w:pPr>
      <w:bookmarkStart w:id="19" w:name="_Toc481684477"/>
      <w:r>
        <w:t>Akciócsomagok kezelése</w:t>
      </w:r>
      <w:bookmarkEnd w:id="19"/>
      <w:r w:rsidR="00137965">
        <w:t xml:space="preserve"> </w:t>
      </w:r>
    </w:p>
    <w:p w:rsidR="00C71F21" w:rsidRDefault="00C71F21" w:rsidP="00B03B5E">
      <w:pPr>
        <w:jc w:val="both"/>
      </w:pPr>
      <w:r w:rsidRPr="00C71F21">
        <w:rPr>
          <w:b/>
        </w:rPr>
        <w:t>Akciócsomagok kezelés</w:t>
      </w:r>
      <w:r w:rsidR="00B54BB3">
        <w:rPr>
          <w:b/>
        </w:rPr>
        <w:t>e</w:t>
      </w:r>
      <w:r w:rsidRPr="00C71F21">
        <w:rPr>
          <w:b/>
        </w:rPr>
        <w:t>:</w:t>
      </w:r>
      <w:r>
        <w:t xml:space="preserve"> csak ajánlati szakaszban van lehetőség akciócsomag és kupon hozzárendelésre, ezért kiemelten fontos, hogy az ajánlati nyomtatványokon feltűntetésre kerüljön a kuponkód vagy az igénybe venni kívánt termékakció neve. Amennyiben az ajánlat már szerződéssé válik</w:t>
      </w:r>
      <w:r w:rsidR="001324BF">
        <w:t xml:space="preserve"> (a számlanyitási díj lekönyvelésre kerül az ügyfél számlára)</w:t>
      </w:r>
      <w:r>
        <w:t>, nincs lehetőség utólagosan kuponkódot és termékakciót hozzárendelni a szerződéshez.</w:t>
      </w:r>
    </w:p>
    <w:p w:rsidR="001324BF" w:rsidRDefault="001324BF" w:rsidP="00B03B5E">
      <w:pPr>
        <w:jc w:val="both"/>
      </w:pPr>
      <w:r w:rsidRPr="008237F9">
        <w:rPr>
          <w:i/>
          <w:u w:val="single"/>
        </w:rPr>
        <w:t>Értékesítő feladata:</w:t>
      </w:r>
      <w:r>
        <w:t xml:space="preserve"> Amennyiben termékakciót vagy kuponkódot igénybe kíván venni az ügyfél, akkor azt minden esetben fel kell tűntetni az ajánlati nyomtatványon, mert utólag azok érvényesítésére nincs lehetőség!</w:t>
      </w:r>
    </w:p>
    <w:p w:rsidR="00EE6057" w:rsidRDefault="00EE6057" w:rsidP="00EE6057">
      <w:pPr>
        <w:pStyle w:val="Cmsor2"/>
        <w:numPr>
          <w:ilvl w:val="0"/>
          <w:numId w:val="15"/>
        </w:numPr>
      </w:pPr>
      <w:bookmarkStart w:id="20" w:name="_Toc481684478"/>
      <w:r w:rsidRPr="008237F9">
        <w:t>Befizetések kezelése</w:t>
      </w:r>
      <w:bookmarkEnd w:id="20"/>
    </w:p>
    <w:p w:rsidR="003A1814" w:rsidRDefault="00C71F21" w:rsidP="00B03B5E">
      <w:pPr>
        <w:jc w:val="both"/>
      </w:pPr>
      <w:r w:rsidRPr="008237F9">
        <w:rPr>
          <w:b/>
        </w:rPr>
        <w:t>Befizetések kezelése:</w:t>
      </w:r>
      <w:r>
        <w:t xml:space="preserve"> </w:t>
      </w:r>
      <w:r w:rsidR="001324BF">
        <w:t xml:space="preserve">az új számlavezető rendszerben jelenleg nem lehet módosítani a megtakarítás kezdet dátumot, így kiemelten fontos, amennyiben több lakásszámlát is köt az ügyfél egyszerre, úgy minden esetben külön-külön kell rendezni ajánlatonként az első díjas befizetéseket </w:t>
      </w:r>
      <w:r w:rsidR="008237F9">
        <w:t xml:space="preserve">(számlanyitási díj + az első havi megtakarítás) </w:t>
      </w:r>
      <w:r w:rsidR="001324BF">
        <w:t>az ajánlatszámra hivatkozva</w:t>
      </w:r>
      <w:r w:rsidR="008237F9">
        <w:t xml:space="preserve"> az első díjas számlaszámra. </w:t>
      </w:r>
      <w:r w:rsidR="002B731E">
        <w:t>H</w:t>
      </w:r>
      <w:r w:rsidR="002B731E" w:rsidRPr="002B731E">
        <w:t xml:space="preserve">a tévesen egy szerződésre kerül lekönyvelésre az összes befizetett összeg, annak </w:t>
      </w:r>
      <w:proofErr w:type="gramStart"/>
      <w:r w:rsidR="002B731E" w:rsidRPr="002B731E">
        <w:t>elindul</w:t>
      </w:r>
      <w:proofErr w:type="gramEnd"/>
      <w:r w:rsidR="002B731E" w:rsidRPr="002B731E">
        <w:t xml:space="preserve"> a megtakarítási kezdete pedig lehet, hogy nem kellett volna, így az átkönyvelések után nem tudjuk jelenleg </w:t>
      </w:r>
      <w:r w:rsidR="002B731E">
        <w:t xml:space="preserve">utólag </w:t>
      </w:r>
      <w:r w:rsidR="002B731E" w:rsidRPr="002B731E">
        <w:t>rendezni</w:t>
      </w:r>
      <w:r w:rsidR="002B731E">
        <w:t>.</w:t>
      </w:r>
    </w:p>
    <w:p w:rsidR="008237F9" w:rsidRDefault="008237F9" w:rsidP="00B03B5E">
      <w:pPr>
        <w:jc w:val="both"/>
      </w:pPr>
      <w:r w:rsidRPr="008237F9">
        <w:rPr>
          <w:i/>
          <w:u w:val="single"/>
        </w:rPr>
        <w:t>Értékesítő feladata</w:t>
      </w:r>
      <w:r w:rsidRPr="008237F9">
        <w:t xml:space="preserve">: Amennyiben egyszerre több lakásszámla is értékesítésre kerül </w:t>
      </w:r>
      <w:r>
        <w:t>az ügyfél számára, úgy tájékoztatni szükséges, hogy az első díjas számlaszámunkra történő utalás esetén ajánlatonként külön-külön tranzakcióban kell a befizetéseket teljesíteni az ajánlatszám feltűntetésével a közlemény rovatban</w:t>
      </w:r>
      <w:r w:rsidR="00ED0453">
        <w:t>.</w:t>
      </w:r>
    </w:p>
    <w:p w:rsidR="008237F9" w:rsidRDefault="008237F9" w:rsidP="00EE6057">
      <w:pPr>
        <w:pStyle w:val="Cmsor3"/>
        <w:numPr>
          <w:ilvl w:val="0"/>
          <w:numId w:val="20"/>
        </w:numPr>
      </w:pPr>
      <w:bookmarkStart w:id="21" w:name="_Toc481684479"/>
      <w:r>
        <w:t>Befizetések jóváírásának átfutási ideje a különböző fizetési módok esetén</w:t>
      </w:r>
      <w:bookmarkEnd w:id="21"/>
    </w:p>
    <w:p w:rsidR="009C77D4" w:rsidRDefault="009C77D4" w:rsidP="00B03B5E">
      <w:pPr>
        <w:pStyle w:val="Listaszerbekezds"/>
        <w:numPr>
          <w:ilvl w:val="0"/>
          <w:numId w:val="6"/>
        </w:numPr>
        <w:jc w:val="both"/>
      </w:pPr>
      <w:r>
        <w:t>Első díjas csekken történő befizetés esetén az ajánlat aláírási dátumával egyezik meg a befizetések jóváírási dátuma,</w:t>
      </w:r>
    </w:p>
    <w:p w:rsidR="008237F9" w:rsidRDefault="008237F9" w:rsidP="00B03B5E">
      <w:pPr>
        <w:pStyle w:val="Listaszerbekezds"/>
        <w:numPr>
          <w:ilvl w:val="0"/>
          <w:numId w:val="6"/>
        </w:numPr>
        <w:jc w:val="both"/>
      </w:pPr>
      <w:r>
        <w:t xml:space="preserve">Banki átutalás esetén: </w:t>
      </w:r>
      <w:r w:rsidR="009C77D4">
        <w:t xml:space="preserve">munkanapokon </w:t>
      </w:r>
      <w:r>
        <w:t>0-16 óra közötti utaláskor még aznap, 2 órán belül jóváíródik a befizetett összeg</w:t>
      </w:r>
      <w:r w:rsidR="009C77D4">
        <w:t xml:space="preserve">; 16 óra utáni utaláskor a következő munkanapon könyvelődnek </w:t>
      </w:r>
      <w:r w:rsidR="009C77D4">
        <w:lastRenderedPageBreak/>
        <w:t>le a befizetések</w:t>
      </w:r>
      <w:r w:rsidR="00093B03" w:rsidRPr="00093B03">
        <w:t xml:space="preserve"> </w:t>
      </w:r>
      <w:r w:rsidR="00093B03">
        <w:t>(</w:t>
      </w:r>
      <w:r w:rsidR="00093B03" w:rsidRPr="00093B03">
        <w:t xml:space="preserve">17 órakor van </w:t>
      </w:r>
      <w:r w:rsidR="001B1BEE">
        <w:t xml:space="preserve">az </w:t>
      </w:r>
      <w:proofErr w:type="spellStart"/>
      <w:r w:rsidR="001B1BEE">
        <w:t>FLK</w:t>
      </w:r>
      <w:r w:rsidR="00B54BB3">
        <w:t>-</w:t>
      </w:r>
      <w:r w:rsidR="001B1BEE">
        <w:t>nál</w:t>
      </w:r>
      <w:proofErr w:type="spellEnd"/>
      <w:r w:rsidR="001B1BEE" w:rsidRPr="00093B03">
        <w:t xml:space="preserve"> </w:t>
      </w:r>
      <w:r w:rsidR="00093B03" w:rsidRPr="00093B03">
        <w:t>a</w:t>
      </w:r>
      <w:r w:rsidR="00ED0453">
        <w:t>z</w:t>
      </w:r>
      <w:r w:rsidR="00093B03" w:rsidRPr="00093B03">
        <w:t xml:space="preserve"> utolsó könyvelés, így ami addig beérkezett az lekönyvelődik, így nem biztos, hogy a 16 órakor indított utalás aznap le is lesz könyvelve</w:t>
      </w:r>
      <w:r w:rsidR="00093B03">
        <w:t>),</w:t>
      </w:r>
    </w:p>
    <w:p w:rsidR="008237F9" w:rsidRDefault="008237F9" w:rsidP="00B03B5E">
      <w:pPr>
        <w:pStyle w:val="Listaszerbekezds"/>
        <w:numPr>
          <w:ilvl w:val="0"/>
          <w:numId w:val="6"/>
        </w:numPr>
        <w:jc w:val="both"/>
      </w:pPr>
      <w:r>
        <w:t>Bankkártyás fizetés esetén:</w:t>
      </w:r>
      <w:r w:rsidR="00446B0E">
        <w:t xml:space="preserve"> általában</w:t>
      </w:r>
      <w:r>
        <w:t xml:space="preserve"> </w:t>
      </w:r>
      <w:r w:rsidR="009C77D4">
        <w:t>4-5 munkanap a befizetések jóváírási ideje</w:t>
      </w:r>
      <w:r w:rsidR="00093B03">
        <w:t>,</w:t>
      </w:r>
    </w:p>
    <w:p w:rsidR="009C77D4" w:rsidRDefault="009C77D4" w:rsidP="00B03B5E">
      <w:pPr>
        <w:pStyle w:val="Listaszerbekezds"/>
        <w:numPr>
          <w:ilvl w:val="0"/>
          <w:numId w:val="6"/>
        </w:numPr>
        <w:jc w:val="both"/>
      </w:pPr>
      <w:r>
        <w:t>Csekken fizetett rendszeres megtakarítás esetén</w:t>
      </w:r>
      <w:r w:rsidR="00446B0E">
        <w:t xml:space="preserve"> akár</w:t>
      </w:r>
      <w:r>
        <w:t xml:space="preserve"> 3-4 munkanap</w:t>
      </w:r>
      <w:r w:rsidR="00446B0E">
        <w:t xml:space="preserve"> is lehet</w:t>
      </w:r>
      <w:r>
        <w:t xml:space="preserve"> a jóváírás ideje</w:t>
      </w:r>
    </w:p>
    <w:p w:rsidR="00A009CF" w:rsidRDefault="009C77D4" w:rsidP="00B03B5E">
      <w:pPr>
        <w:jc w:val="both"/>
      </w:pPr>
      <w:r w:rsidRPr="008237F9">
        <w:rPr>
          <w:i/>
          <w:u w:val="single"/>
        </w:rPr>
        <w:t>Értékesítő feladata</w:t>
      </w:r>
      <w:r w:rsidRPr="008237F9">
        <w:t>:</w:t>
      </w:r>
      <w:r>
        <w:t xml:space="preserve"> A választott fizetési módtól függetlenül tájékozatni kell az ügyfelet, hogy a befizetésekről minden hónap 13-ig gondoskodjon, így biztosan az adott hónapban jóvá fognak íródni a befizetések az ügyfél számláján!</w:t>
      </w:r>
      <w:r w:rsidR="009D6D52">
        <w:t xml:space="preserve"> Ez alól kivétel az</w:t>
      </w:r>
      <w:r w:rsidR="009D6D52" w:rsidRPr="009D6D52">
        <w:t xml:space="preserve"> inkasszó, mert ott 15-ig választhat </w:t>
      </w:r>
      <w:r w:rsidR="009D6D52">
        <w:t xml:space="preserve">terhelési </w:t>
      </w:r>
      <w:r w:rsidR="009D6D52" w:rsidRPr="009D6D52">
        <w:t>napot</w:t>
      </w:r>
      <w:r w:rsidR="00ED0453">
        <w:t>. Egyéb esetben törekedjünk</w:t>
      </w:r>
      <w:r w:rsidR="001572B1">
        <w:t xml:space="preserve"> a 13-ig történő befizetésekre</w:t>
      </w:r>
      <w:r w:rsidR="001B1BEE">
        <w:t>,</w:t>
      </w:r>
      <w:r w:rsidR="009D6D52" w:rsidRPr="009D6D52">
        <w:t xml:space="preserve"> mert hó végéhez közeli befizetésnél nem biztos, hogy arra a hónapra fog könyvelődni ahova szeretné (különösen az utolsó napokban történő befizetés esetén csúszhat át főleg csekkes és </w:t>
      </w:r>
      <w:r w:rsidR="00093B03">
        <w:t>bank</w:t>
      </w:r>
      <w:r w:rsidR="009D6D52" w:rsidRPr="009D6D52">
        <w:t>kártyás befizetésnél)</w:t>
      </w:r>
      <w:r w:rsidR="00093B03">
        <w:t>.</w:t>
      </w:r>
    </w:p>
    <w:p w:rsidR="008253FB" w:rsidRDefault="004F1324" w:rsidP="00EE6057">
      <w:pPr>
        <w:pStyle w:val="Cmsor1"/>
        <w:numPr>
          <w:ilvl w:val="0"/>
          <w:numId w:val="11"/>
        </w:numPr>
      </w:pPr>
      <w:bookmarkStart w:id="22" w:name="_Toc481684480"/>
      <w:r>
        <w:t>Egyéb változások</w:t>
      </w:r>
      <w:bookmarkEnd w:id="22"/>
    </w:p>
    <w:p w:rsidR="008253FB" w:rsidRPr="004F1324" w:rsidRDefault="004F1324" w:rsidP="00EE6057">
      <w:pPr>
        <w:pStyle w:val="Cmsor2"/>
        <w:numPr>
          <w:ilvl w:val="0"/>
          <w:numId w:val="21"/>
        </w:numPr>
      </w:pPr>
      <w:bookmarkStart w:id="23" w:name="_Toc481684481"/>
      <w:r>
        <w:t>Jelzálog értékhatár emelése</w:t>
      </w:r>
      <w:bookmarkEnd w:id="23"/>
    </w:p>
    <w:p w:rsidR="004857E1" w:rsidRDefault="008253FB" w:rsidP="00AA65E0">
      <w:pPr>
        <w:jc w:val="both"/>
      </w:pPr>
      <w:r>
        <w:t xml:space="preserve">Nemcsak a Fundamenta hitelezéssel </w:t>
      </w:r>
      <w:r w:rsidR="00972B2C">
        <w:t xml:space="preserve">is </w:t>
      </w:r>
      <w:r>
        <w:t>fogl</w:t>
      </w:r>
      <w:r w:rsidR="004857E1">
        <w:t>alkozó értékesítési partner</w:t>
      </w:r>
      <w:r w:rsidR="00972B2C">
        <w:t>eit</w:t>
      </w:r>
      <w:r w:rsidR="004857E1">
        <w:t xml:space="preserve"> érintő kedvező változás a jelzálog értékhatár emelése, hanem a kizárólag lakásszámla betéti terméket értékesítő partnereink számára is egy újabb értékesítési érv lehet, hogy a </w:t>
      </w:r>
      <w:proofErr w:type="spellStart"/>
      <w:r w:rsidR="004857E1">
        <w:t>Fundamentától</w:t>
      </w:r>
      <w:proofErr w:type="spellEnd"/>
      <w:r w:rsidR="004857E1">
        <w:t xml:space="preserve"> már magasabb hitelösszeget is lehet igényelni ingatlan jelzálogjog bejegyzése nélkül. </w:t>
      </w:r>
    </w:p>
    <w:p w:rsidR="008253FB" w:rsidRDefault="004857E1" w:rsidP="004F1324">
      <w:pPr>
        <w:jc w:val="both"/>
      </w:pPr>
      <w:r>
        <w:t>A</w:t>
      </w:r>
      <w:r w:rsidR="008253FB">
        <w:t xml:space="preserve"> jelzálog értékhatár a </w:t>
      </w:r>
      <w:proofErr w:type="spellStart"/>
      <w:r>
        <w:t>Fundamentánál</w:t>
      </w:r>
      <w:proofErr w:type="spellEnd"/>
      <w:r>
        <w:t xml:space="preserve"> </w:t>
      </w:r>
      <w:r w:rsidR="008253FB">
        <w:t xml:space="preserve">2017.05.05-től bírálatra kerülő </w:t>
      </w:r>
      <w:r>
        <w:t>áthidaló kölcsön (ÁK)</w:t>
      </w:r>
      <w:r w:rsidR="008253FB">
        <w:t xml:space="preserve"> és </w:t>
      </w:r>
      <w:r>
        <w:t xml:space="preserve">lakáskölcsön (LK) </w:t>
      </w:r>
      <w:r w:rsidR="008253FB">
        <w:t>esetében</w:t>
      </w:r>
      <w:r w:rsidR="00972B2C">
        <w:t xml:space="preserve"> megemelésre került</w:t>
      </w:r>
      <w:r w:rsidR="008253FB">
        <w:t>, 2.000.000.- Forintos összesített kockázat felett szükséges csak ingatlanfedezetet bevonni a hitelügyletbe.</w:t>
      </w:r>
    </w:p>
    <w:p w:rsidR="00DF1DDD" w:rsidRPr="004F1324" w:rsidRDefault="00DF1DDD" w:rsidP="00EE6057">
      <w:pPr>
        <w:pStyle w:val="Cmsor2"/>
        <w:numPr>
          <w:ilvl w:val="0"/>
          <w:numId w:val="21"/>
        </w:numPr>
      </w:pPr>
      <w:bookmarkStart w:id="24" w:name="_Toc481684482"/>
      <w:r w:rsidRPr="004F1324">
        <w:t xml:space="preserve">Kalkuláció az </w:t>
      </w:r>
      <w:proofErr w:type="spellStart"/>
      <w:r w:rsidRPr="004F1324">
        <w:t>eLak</w:t>
      </w:r>
      <w:proofErr w:type="spellEnd"/>
      <w:r w:rsidRPr="004F1324">
        <w:t xml:space="preserve"> rendszerben</w:t>
      </w:r>
      <w:bookmarkEnd w:id="24"/>
    </w:p>
    <w:p w:rsidR="00DF1DDD" w:rsidRDefault="00DF1DDD" w:rsidP="00DF1DDD">
      <w:pPr>
        <w:jc w:val="both"/>
      </w:pPr>
      <w:r>
        <w:t>A jelzálog értékhatár emelés</w:t>
      </w:r>
      <w:r w:rsidR="00972B2C">
        <w:t>e</w:t>
      </w:r>
      <w:r>
        <w:t xml:space="preserve"> hat</w:t>
      </w:r>
      <w:r w:rsidR="00972B2C">
        <w:t xml:space="preserve">ással van az </w:t>
      </w:r>
      <w:proofErr w:type="spellStart"/>
      <w:r w:rsidR="00972B2C">
        <w:t>eLak</w:t>
      </w:r>
      <w:proofErr w:type="spellEnd"/>
      <w:r w:rsidR="00972B2C">
        <w:t xml:space="preserve"> rendszer hátte</w:t>
      </w:r>
      <w:r>
        <w:t xml:space="preserve">rében futó kalkulációs folyamatokra is, mely azt eredményezi, hogy a Kalkuláció során az </w:t>
      </w:r>
      <w:r>
        <w:rPr>
          <w:i/>
          <w:iCs/>
        </w:rPr>
        <w:t>akciócsomagos hívás esetén</w:t>
      </w:r>
      <w:r>
        <w:t xml:space="preserve"> eg</w:t>
      </w:r>
      <w:r w:rsidR="00972B2C">
        <w:t>g</w:t>
      </w:r>
      <w:r>
        <w:t>yel több kattintásra lesz szükség a felhasználó részéről a kalkuláció során, hogy eljusson a kalkulációs lapig. Ha nem tartalmaz akciócsomagot az adott kalkuláció, akkor nem nő a kattintások száma.</w:t>
      </w:r>
    </w:p>
    <w:p w:rsidR="00CA66DD" w:rsidRPr="004F1324" w:rsidRDefault="00DF1DDD" w:rsidP="00EE6057">
      <w:pPr>
        <w:pStyle w:val="Cmsor2"/>
        <w:numPr>
          <w:ilvl w:val="0"/>
          <w:numId w:val="21"/>
        </w:numPr>
      </w:pPr>
      <w:bookmarkStart w:id="25" w:name="_Toc481684483"/>
      <w:r w:rsidRPr="00EE6057">
        <w:t>Hiánypótlás folyamatát érintő változások</w:t>
      </w:r>
      <w:bookmarkEnd w:id="25"/>
    </w:p>
    <w:p w:rsidR="00CA66DD" w:rsidRDefault="00CA66DD" w:rsidP="00EE6057">
      <w:pPr>
        <w:pStyle w:val="Cmsor3"/>
        <w:numPr>
          <w:ilvl w:val="0"/>
          <w:numId w:val="22"/>
        </w:numPr>
      </w:pPr>
      <w:bookmarkStart w:id="26" w:name="_Toc481684484"/>
      <w:r>
        <w:t>Adatkezelési és OBA nyilatkozat miatt hibás ajánlatok kezelése</w:t>
      </w:r>
      <w:bookmarkEnd w:id="26"/>
    </w:p>
    <w:p w:rsidR="00CA66DD" w:rsidRDefault="00CA66DD" w:rsidP="00354E30">
      <w:pPr>
        <w:jc w:val="both"/>
      </w:pPr>
      <w:r>
        <w:t xml:space="preserve">Azoknál a hibásan kitöltött ajánlati nyomtatványoknál, melyeknél </w:t>
      </w:r>
      <w:r w:rsidR="00DF1DDD">
        <w:t>az ajánlati ny</w:t>
      </w:r>
      <w:r w:rsidR="00DE06EB">
        <w:t xml:space="preserve">omtatvány második oldalán lévő </w:t>
      </w:r>
      <w:r w:rsidR="00DE06EB" w:rsidRPr="004F1324">
        <w:rPr>
          <w:i/>
        </w:rPr>
        <w:t>Adatkezelésre</w:t>
      </w:r>
      <w:r w:rsidR="00DF1DDD" w:rsidRPr="004F1324">
        <w:rPr>
          <w:i/>
        </w:rPr>
        <w:t xml:space="preserve"> </w:t>
      </w:r>
      <w:r w:rsidR="00DE06EB" w:rsidRPr="004F1324">
        <w:rPr>
          <w:i/>
        </w:rPr>
        <w:t>vonatkozó rendelkezések</w:t>
      </w:r>
      <w:r w:rsidR="00DE06EB">
        <w:t xml:space="preserve"> valamint a </w:t>
      </w:r>
      <w:r w:rsidR="00DE06EB" w:rsidRPr="004F1324">
        <w:rPr>
          <w:i/>
        </w:rPr>
        <w:t>Tájékoztató betéteseknek (OBA nyilatkozat)</w:t>
      </w:r>
      <w:r w:rsidR="00DE06EB">
        <w:t xml:space="preserve"> részek nem megfelelően kerültek kitöltésre</w:t>
      </w:r>
      <w:r w:rsidR="00354E30">
        <w:t xml:space="preserve"> </w:t>
      </w:r>
      <w:r w:rsidR="00DE06EB">
        <w:t xml:space="preserve">- pl. a keltezés, és/vagy az ügyfél aláírása hiányzik-, </w:t>
      </w:r>
      <w:r>
        <w:t>a javítást az alábbiak szerint fogadjuk el:</w:t>
      </w:r>
    </w:p>
    <w:p w:rsidR="00CA66DD" w:rsidRDefault="00CA66DD" w:rsidP="00354E30">
      <w:pPr>
        <w:pStyle w:val="Listaszerbekezds"/>
        <w:numPr>
          <w:ilvl w:val="0"/>
          <w:numId w:val="8"/>
        </w:numPr>
        <w:jc w:val="both"/>
      </w:pPr>
      <w:r>
        <w:t>az üzletkötőnél lévő ajánlati nyomtatvány másodpéldányán szükséges a javítást elvégezni, és azt eredetiben beküldeni, vagy</w:t>
      </w:r>
    </w:p>
    <w:p w:rsidR="00DF1DDD" w:rsidRPr="00DE06EB" w:rsidRDefault="00DE06EB" w:rsidP="00354E30">
      <w:pPr>
        <w:pStyle w:val="Listaszerbekezds"/>
        <w:numPr>
          <w:ilvl w:val="0"/>
          <w:numId w:val="8"/>
        </w:numPr>
        <w:jc w:val="both"/>
      </w:pPr>
      <w:r>
        <w:t>ha az üzletkötő nem tudná a javított ajánlati nyomtatvány</w:t>
      </w:r>
      <w:r w:rsidR="00354E30">
        <w:t xml:space="preserve"> másodpéldányát beküldeni, úgy abba</w:t>
      </w:r>
      <w:r>
        <w:t xml:space="preserve">n az esetben </w:t>
      </w:r>
      <w:r w:rsidR="00817083">
        <w:t xml:space="preserve">a hiánypótlást a </w:t>
      </w:r>
      <w:r>
        <w:t xml:space="preserve">jelen tájékoztatásunk mellé csatolt </w:t>
      </w:r>
      <w:r w:rsidRPr="00CA66DD">
        <w:rPr>
          <w:i/>
        </w:rPr>
        <w:t>Adatkezelési és OBA nyilatkozat</w:t>
      </w:r>
      <w:r w:rsidR="00CA66DD">
        <w:t xml:space="preserve"> hiánypótláshoz </w:t>
      </w:r>
      <w:r w:rsidR="00817083">
        <w:t xml:space="preserve">nyomtatványunkon </w:t>
      </w:r>
      <w:r>
        <w:t>is el</w:t>
      </w:r>
      <w:r w:rsidR="00CA66DD">
        <w:t xml:space="preserve"> tudjuk fogadni</w:t>
      </w:r>
      <w:r>
        <w:t>.</w:t>
      </w:r>
      <w:r w:rsidR="00817083">
        <w:t xml:space="preserve"> Ez a nyomtatvány a </w:t>
      </w:r>
      <w:hyperlink r:id="rId9" w:history="1">
        <w:r w:rsidR="00817083" w:rsidRPr="00354E30">
          <w:rPr>
            <w:rStyle w:val="Hiperhivatkozs"/>
          </w:rPr>
          <w:t>https://www.fundame</w:t>
        </w:r>
        <w:r w:rsidR="00817083" w:rsidRPr="00354E30">
          <w:rPr>
            <w:rStyle w:val="Hiperhivatkozs"/>
          </w:rPr>
          <w:t>n</w:t>
        </w:r>
        <w:r w:rsidR="00817083" w:rsidRPr="00354E30">
          <w:rPr>
            <w:rStyle w:val="Hiperhivatkozs"/>
          </w:rPr>
          <w:t>ta.h</w:t>
        </w:r>
        <w:r w:rsidR="00817083" w:rsidRPr="00354E30">
          <w:rPr>
            <w:rStyle w:val="Hiperhivatkozs"/>
          </w:rPr>
          <w:t>u</w:t>
        </w:r>
        <w:r w:rsidR="00817083" w:rsidRPr="00354E30">
          <w:rPr>
            <w:rStyle w:val="Hiperhivatkozs"/>
          </w:rPr>
          <w:t>/dokum</w:t>
        </w:r>
        <w:r w:rsidR="00817083" w:rsidRPr="00354E30">
          <w:rPr>
            <w:rStyle w:val="Hiperhivatkozs"/>
          </w:rPr>
          <w:t>e</w:t>
        </w:r>
        <w:r w:rsidR="00817083" w:rsidRPr="00354E30">
          <w:rPr>
            <w:rStyle w:val="Hiperhivatkozs"/>
          </w:rPr>
          <w:t>ntumtar</w:t>
        </w:r>
      </w:hyperlink>
      <w:r w:rsidR="00817083" w:rsidRPr="00354E30">
        <w:t xml:space="preserve"> oldalunkról is elérhető</w:t>
      </w:r>
      <w:r w:rsidR="00354E30">
        <w:t xml:space="preserve"> </w:t>
      </w:r>
      <w:r w:rsidR="00817083" w:rsidRPr="00354E30">
        <w:t>/</w:t>
      </w:r>
      <w:r w:rsidR="00817083">
        <w:t xml:space="preserve"> letölthető.</w:t>
      </w:r>
    </w:p>
    <w:p w:rsidR="00DF1DDD" w:rsidRDefault="00CA66DD" w:rsidP="00EE6057">
      <w:pPr>
        <w:pStyle w:val="Cmsor3"/>
        <w:numPr>
          <w:ilvl w:val="0"/>
          <w:numId w:val="22"/>
        </w:numPr>
      </w:pPr>
      <w:bookmarkStart w:id="27" w:name="_Toc481684485"/>
      <w:r>
        <w:lastRenderedPageBreak/>
        <w:t>Régi típusú, hibás ajánlati nyomtatványok kezelése</w:t>
      </w:r>
      <w:bookmarkEnd w:id="27"/>
    </w:p>
    <w:p w:rsidR="00AA65E0" w:rsidRDefault="00C94607" w:rsidP="00B03B5E">
      <w:pPr>
        <w:jc w:val="both"/>
      </w:pPr>
      <w:r>
        <w:t>Amennyiben</w:t>
      </w:r>
      <w:r w:rsidR="00AA65E0">
        <w:t xml:space="preserve"> az ajánlat papír alapon</w:t>
      </w:r>
      <w:r>
        <w:t xml:space="preserve"> </w:t>
      </w:r>
      <w:r w:rsidR="00AA65E0">
        <w:t>még régi típusú ajánlati nyomtatványon (cikkszáma kisebb</w:t>
      </w:r>
      <w:r w:rsidR="00354E30">
        <w:t>,</w:t>
      </w:r>
      <w:r w:rsidR="00AA65E0">
        <w:t xml:space="preserve"> mint</w:t>
      </w:r>
      <w:r w:rsidR="00AA65E0" w:rsidRPr="00C94607">
        <w:t xml:space="preserve"> 01 114</w:t>
      </w:r>
      <w:r w:rsidR="00AA65E0">
        <w:t> </w:t>
      </w:r>
      <w:r w:rsidR="00AA65E0" w:rsidRPr="00C94607">
        <w:t>802</w:t>
      </w:r>
      <w:r w:rsidR="00AA65E0">
        <w:t>) került kitö</w:t>
      </w:r>
      <w:r w:rsidR="00354E30">
        <w:t>ltésre, úgy abban az esetben a hibajavítás folyam</w:t>
      </w:r>
      <w:r w:rsidR="00AA65E0">
        <w:t>at</w:t>
      </w:r>
      <w:r w:rsidR="00354E30">
        <w:t>a</w:t>
      </w:r>
      <w:r w:rsidR="00AA65E0">
        <w:t xml:space="preserve"> a következő:</w:t>
      </w:r>
    </w:p>
    <w:p w:rsidR="00CA66DD" w:rsidRDefault="00AA65E0" w:rsidP="004F1324">
      <w:pPr>
        <w:pStyle w:val="Listaszerbekezds"/>
        <w:numPr>
          <w:ilvl w:val="0"/>
          <w:numId w:val="10"/>
        </w:numPr>
        <w:jc w:val="both"/>
      </w:pPr>
      <w:r>
        <w:t>új típusú ajánlati nyomtatványt szükséges az ügyféllel kitöltetni</w:t>
      </w:r>
      <w:r w:rsidR="00C94607">
        <w:t xml:space="preserve"> </w:t>
      </w:r>
      <w:r>
        <w:t>(c</w:t>
      </w:r>
      <w:r w:rsidR="00C94607" w:rsidRPr="00C94607">
        <w:t>ikkszám: 01 114</w:t>
      </w:r>
      <w:r>
        <w:t> </w:t>
      </w:r>
      <w:r w:rsidR="00C94607" w:rsidRPr="00C94607">
        <w:t>802)</w:t>
      </w:r>
      <w:r>
        <w:t xml:space="preserve"> és</w:t>
      </w:r>
    </w:p>
    <w:p w:rsidR="00AA65E0" w:rsidRPr="008237F9" w:rsidRDefault="00AA65E0" w:rsidP="00AA65E0">
      <w:pPr>
        <w:pStyle w:val="Listaszerbekezds"/>
        <w:numPr>
          <w:ilvl w:val="0"/>
          <w:numId w:val="10"/>
        </w:numPr>
        <w:jc w:val="both"/>
      </w:pPr>
      <w:r>
        <w:t>az új típusú ajánlati nyomtatvány mellé csatolni szükség</w:t>
      </w:r>
      <w:r w:rsidR="00354E30">
        <w:t>es</w:t>
      </w:r>
      <w:r>
        <w:t xml:space="preserve"> egy feljegyzést</w:t>
      </w:r>
      <w:r w:rsidR="00354E30">
        <w:t xml:space="preserve"> </w:t>
      </w:r>
      <w:r>
        <w:t>/ ügyfélnyilatkozatot, melyben az ügyfél kijelenti, hogy kéri a korábbi h</w:t>
      </w:r>
      <w:r w:rsidR="00354E30">
        <w:t>ibás ajánlatának a sztornózását</w:t>
      </w:r>
      <w:r>
        <w:t xml:space="preserve"> és az arra érkező </w:t>
      </w:r>
      <w:proofErr w:type="gramStart"/>
      <w:r>
        <w:t>befizetés</w:t>
      </w:r>
      <w:r w:rsidR="00354E30">
        <w:t>(</w:t>
      </w:r>
      <w:proofErr w:type="gramEnd"/>
      <w:r>
        <w:t>eke</w:t>
      </w:r>
      <w:r w:rsidR="00354E30">
        <w:t>)</w:t>
      </w:r>
      <w:r>
        <w:t xml:space="preserve">t pedig az új ajánlathoz tartozó számlaszámra </w:t>
      </w:r>
      <w:r w:rsidR="004F1324">
        <w:t>szeretné átkönyveltetni.</w:t>
      </w:r>
    </w:p>
    <w:sectPr w:rsidR="00AA65E0" w:rsidRPr="008237F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F8" w:rsidRDefault="00BA06F8" w:rsidP="001572B1">
      <w:pPr>
        <w:spacing w:after="0" w:line="240" w:lineRule="auto"/>
      </w:pPr>
      <w:r>
        <w:separator/>
      </w:r>
    </w:p>
  </w:endnote>
  <w:endnote w:type="continuationSeparator" w:id="0">
    <w:p w:rsidR="00BA06F8" w:rsidRDefault="00BA06F8" w:rsidP="0015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367227"/>
      <w:docPartObj>
        <w:docPartGallery w:val="Page Numbers (Bottom of Page)"/>
        <w:docPartUnique/>
      </w:docPartObj>
    </w:sdtPr>
    <w:sdtEndPr/>
    <w:sdtContent>
      <w:p w:rsidR="001572B1" w:rsidRDefault="001572B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E30">
          <w:rPr>
            <w:noProof/>
          </w:rPr>
          <w:t>1</w:t>
        </w:r>
        <w:r>
          <w:fldChar w:fldCharType="end"/>
        </w:r>
      </w:p>
    </w:sdtContent>
  </w:sdt>
  <w:p w:rsidR="001572B1" w:rsidRDefault="001572B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F8" w:rsidRDefault="00BA06F8" w:rsidP="001572B1">
      <w:pPr>
        <w:spacing w:after="0" w:line="240" w:lineRule="auto"/>
      </w:pPr>
      <w:r>
        <w:separator/>
      </w:r>
    </w:p>
  </w:footnote>
  <w:footnote w:type="continuationSeparator" w:id="0">
    <w:p w:rsidR="00BA06F8" w:rsidRDefault="00BA06F8" w:rsidP="0015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F8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495F1B"/>
    <w:multiLevelType w:val="hybridMultilevel"/>
    <w:tmpl w:val="B9C2B8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31DC"/>
    <w:multiLevelType w:val="hybridMultilevel"/>
    <w:tmpl w:val="00889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8068D"/>
    <w:multiLevelType w:val="hybridMultilevel"/>
    <w:tmpl w:val="178C9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73CAC"/>
    <w:multiLevelType w:val="hybridMultilevel"/>
    <w:tmpl w:val="85407EF2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06F77"/>
    <w:multiLevelType w:val="hybridMultilevel"/>
    <w:tmpl w:val="182EEBD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804278"/>
    <w:multiLevelType w:val="hybridMultilevel"/>
    <w:tmpl w:val="64AA25B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0034C"/>
    <w:multiLevelType w:val="hybridMultilevel"/>
    <w:tmpl w:val="797AE1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62AD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6E680E"/>
    <w:multiLevelType w:val="hybridMultilevel"/>
    <w:tmpl w:val="7D4420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A7D7C"/>
    <w:multiLevelType w:val="hybridMultilevel"/>
    <w:tmpl w:val="A5BCA18E"/>
    <w:lvl w:ilvl="0" w:tplc="DCD44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94805"/>
    <w:multiLevelType w:val="hybridMultilevel"/>
    <w:tmpl w:val="32C413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E7D8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630CD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B2708A"/>
    <w:multiLevelType w:val="hybridMultilevel"/>
    <w:tmpl w:val="3E42D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220A3"/>
    <w:multiLevelType w:val="hybridMultilevel"/>
    <w:tmpl w:val="84AC2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03485"/>
    <w:multiLevelType w:val="hybridMultilevel"/>
    <w:tmpl w:val="1C02C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9753D"/>
    <w:multiLevelType w:val="hybridMultilevel"/>
    <w:tmpl w:val="24648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923B8"/>
    <w:multiLevelType w:val="hybridMultilevel"/>
    <w:tmpl w:val="81FE6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64F1A"/>
    <w:multiLevelType w:val="hybridMultilevel"/>
    <w:tmpl w:val="E2265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810D5"/>
    <w:multiLevelType w:val="hybridMultilevel"/>
    <w:tmpl w:val="B1BAB7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747A7"/>
    <w:multiLevelType w:val="hybridMultilevel"/>
    <w:tmpl w:val="D1124BA0"/>
    <w:lvl w:ilvl="0" w:tplc="C798C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C629E"/>
    <w:multiLevelType w:val="hybridMultilevel"/>
    <w:tmpl w:val="797AE1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4"/>
  </w:num>
  <w:num w:numId="5">
    <w:abstractNumId w:val="17"/>
  </w:num>
  <w:num w:numId="6">
    <w:abstractNumId w:val="2"/>
  </w:num>
  <w:num w:numId="7">
    <w:abstractNumId w:val="20"/>
  </w:num>
  <w:num w:numId="8">
    <w:abstractNumId w:val="19"/>
  </w:num>
  <w:num w:numId="9">
    <w:abstractNumId w:val="16"/>
  </w:num>
  <w:num w:numId="10">
    <w:abstractNumId w:val="3"/>
  </w:num>
  <w:num w:numId="11">
    <w:abstractNumId w:val="10"/>
  </w:num>
  <w:num w:numId="12">
    <w:abstractNumId w:val="13"/>
  </w:num>
  <w:num w:numId="13">
    <w:abstractNumId w:val="8"/>
  </w:num>
  <w:num w:numId="14">
    <w:abstractNumId w:val="0"/>
  </w:num>
  <w:num w:numId="15">
    <w:abstractNumId w:val="12"/>
  </w:num>
  <w:num w:numId="16">
    <w:abstractNumId w:val="7"/>
  </w:num>
  <w:num w:numId="17">
    <w:abstractNumId w:val="6"/>
  </w:num>
  <w:num w:numId="18">
    <w:abstractNumId w:val="22"/>
  </w:num>
  <w:num w:numId="19">
    <w:abstractNumId w:val="5"/>
  </w:num>
  <w:num w:numId="20">
    <w:abstractNumId w:val="4"/>
  </w:num>
  <w:num w:numId="21">
    <w:abstractNumId w:val="21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AD"/>
    <w:rsid w:val="00002E35"/>
    <w:rsid w:val="0000731B"/>
    <w:rsid w:val="000339BC"/>
    <w:rsid w:val="00091C50"/>
    <w:rsid w:val="00093B03"/>
    <w:rsid w:val="000A39E7"/>
    <w:rsid w:val="000E358D"/>
    <w:rsid w:val="001324BF"/>
    <w:rsid w:val="00137965"/>
    <w:rsid w:val="001528AC"/>
    <w:rsid w:val="001572B1"/>
    <w:rsid w:val="001B1BEE"/>
    <w:rsid w:val="001C60B0"/>
    <w:rsid w:val="001D76CF"/>
    <w:rsid w:val="00200653"/>
    <w:rsid w:val="0021057C"/>
    <w:rsid w:val="002156C5"/>
    <w:rsid w:val="00244FAC"/>
    <w:rsid w:val="002477B8"/>
    <w:rsid w:val="00253B0D"/>
    <w:rsid w:val="002A14D2"/>
    <w:rsid w:val="002B731E"/>
    <w:rsid w:val="002E2783"/>
    <w:rsid w:val="00335296"/>
    <w:rsid w:val="00352CD0"/>
    <w:rsid w:val="003540BA"/>
    <w:rsid w:val="00354E30"/>
    <w:rsid w:val="00365907"/>
    <w:rsid w:val="00372A44"/>
    <w:rsid w:val="003763AD"/>
    <w:rsid w:val="003A1814"/>
    <w:rsid w:val="0043026B"/>
    <w:rsid w:val="00442367"/>
    <w:rsid w:val="00446B0E"/>
    <w:rsid w:val="00461647"/>
    <w:rsid w:val="00480B25"/>
    <w:rsid w:val="004857E1"/>
    <w:rsid w:val="004F1324"/>
    <w:rsid w:val="0055665D"/>
    <w:rsid w:val="005747C3"/>
    <w:rsid w:val="005E29F5"/>
    <w:rsid w:val="006D7FCB"/>
    <w:rsid w:val="00712F63"/>
    <w:rsid w:val="00741318"/>
    <w:rsid w:val="007E0918"/>
    <w:rsid w:val="007F11C1"/>
    <w:rsid w:val="007F1832"/>
    <w:rsid w:val="008025F6"/>
    <w:rsid w:val="00817083"/>
    <w:rsid w:val="008216A0"/>
    <w:rsid w:val="008237F9"/>
    <w:rsid w:val="008253FB"/>
    <w:rsid w:val="00866640"/>
    <w:rsid w:val="00883D35"/>
    <w:rsid w:val="00972B2C"/>
    <w:rsid w:val="009C53D2"/>
    <w:rsid w:val="009C77D4"/>
    <w:rsid w:val="009D6D52"/>
    <w:rsid w:val="00A009CF"/>
    <w:rsid w:val="00A06A8F"/>
    <w:rsid w:val="00A270FD"/>
    <w:rsid w:val="00A64DBC"/>
    <w:rsid w:val="00AA65E0"/>
    <w:rsid w:val="00AC5772"/>
    <w:rsid w:val="00B03B5E"/>
    <w:rsid w:val="00B05224"/>
    <w:rsid w:val="00B54BB3"/>
    <w:rsid w:val="00B835D0"/>
    <w:rsid w:val="00B94FE1"/>
    <w:rsid w:val="00BA06F8"/>
    <w:rsid w:val="00BA5A1C"/>
    <w:rsid w:val="00BF096F"/>
    <w:rsid w:val="00C16978"/>
    <w:rsid w:val="00C338FB"/>
    <w:rsid w:val="00C4235F"/>
    <w:rsid w:val="00C45B4C"/>
    <w:rsid w:val="00C71F21"/>
    <w:rsid w:val="00C94607"/>
    <w:rsid w:val="00C94E66"/>
    <w:rsid w:val="00CA66DD"/>
    <w:rsid w:val="00D170AA"/>
    <w:rsid w:val="00D25393"/>
    <w:rsid w:val="00D26EEB"/>
    <w:rsid w:val="00DE06EB"/>
    <w:rsid w:val="00DF1DDD"/>
    <w:rsid w:val="00DF2C94"/>
    <w:rsid w:val="00E301D5"/>
    <w:rsid w:val="00E7366E"/>
    <w:rsid w:val="00EC33AE"/>
    <w:rsid w:val="00ED0453"/>
    <w:rsid w:val="00EE6057"/>
    <w:rsid w:val="00EF5406"/>
    <w:rsid w:val="00FA4195"/>
    <w:rsid w:val="00FB5BF5"/>
    <w:rsid w:val="00FE5242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F1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1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F13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4FE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C57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57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57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57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577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77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53B0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5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72B1"/>
  </w:style>
  <w:style w:type="paragraph" w:styleId="llb">
    <w:name w:val="footer"/>
    <w:basedOn w:val="Norml"/>
    <w:link w:val="llbChar"/>
    <w:uiPriority w:val="99"/>
    <w:unhideWhenUsed/>
    <w:rsid w:val="0015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72B1"/>
  </w:style>
  <w:style w:type="character" w:styleId="Mrltotthiperhivatkozs">
    <w:name w:val="FollowedHyperlink"/>
    <w:basedOn w:val="Bekezdsalapbettpusa"/>
    <w:uiPriority w:val="99"/>
    <w:semiHidden/>
    <w:unhideWhenUsed/>
    <w:rsid w:val="00C45B4C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F1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F1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F1324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F1324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F1324"/>
    <w:pPr>
      <w:spacing w:after="100"/>
      <w:ind w:left="220"/>
    </w:pPr>
  </w:style>
  <w:style w:type="character" w:customStyle="1" w:styleId="Cmsor3Char">
    <w:name w:val="Címsor 3 Char"/>
    <w:basedOn w:val="Bekezdsalapbettpusa"/>
    <w:link w:val="Cmsor3"/>
    <w:uiPriority w:val="9"/>
    <w:rsid w:val="004F13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J3">
    <w:name w:val="toc 3"/>
    <w:basedOn w:val="Norml"/>
    <w:next w:val="Norml"/>
    <w:autoRedefine/>
    <w:uiPriority w:val="39"/>
    <w:unhideWhenUsed/>
    <w:rsid w:val="00EE605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F1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1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F13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4FE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C57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57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57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57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577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77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53B0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5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72B1"/>
  </w:style>
  <w:style w:type="paragraph" w:styleId="llb">
    <w:name w:val="footer"/>
    <w:basedOn w:val="Norml"/>
    <w:link w:val="llbChar"/>
    <w:uiPriority w:val="99"/>
    <w:unhideWhenUsed/>
    <w:rsid w:val="0015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72B1"/>
  </w:style>
  <w:style w:type="character" w:styleId="Mrltotthiperhivatkozs">
    <w:name w:val="FollowedHyperlink"/>
    <w:basedOn w:val="Bekezdsalapbettpusa"/>
    <w:uiPriority w:val="99"/>
    <w:semiHidden/>
    <w:unhideWhenUsed/>
    <w:rsid w:val="00C45B4C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F1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F1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F1324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F1324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F1324"/>
    <w:pPr>
      <w:spacing w:after="100"/>
      <w:ind w:left="220"/>
    </w:pPr>
  </w:style>
  <w:style w:type="character" w:customStyle="1" w:styleId="Cmsor3Char">
    <w:name w:val="Címsor 3 Char"/>
    <w:basedOn w:val="Bekezdsalapbettpusa"/>
    <w:link w:val="Cmsor3"/>
    <w:uiPriority w:val="9"/>
    <w:rsid w:val="004F13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J3">
    <w:name w:val="toc 3"/>
    <w:basedOn w:val="Norml"/>
    <w:next w:val="Norml"/>
    <w:autoRedefine/>
    <w:uiPriority w:val="39"/>
    <w:unhideWhenUsed/>
    <w:rsid w:val="00EE605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fundamenta.hu/dokumentumta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D315-4544-4032-B0DB-61A9EA7D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2300</Words>
  <Characters>15874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Fundamenta Lakáskassza Zrt.</Company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Kornél</dc:creator>
  <cp:lastModifiedBy>Soós Gábor</cp:lastModifiedBy>
  <cp:revision>7</cp:revision>
  <cp:lastPrinted>2017-04-19T12:59:00Z</cp:lastPrinted>
  <dcterms:created xsi:type="dcterms:W3CDTF">2017-05-05T06:56:00Z</dcterms:created>
  <dcterms:modified xsi:type="dcterms:W3CDTF">2017-05-05T08:02:00Z</dcterms:modified>
</cp:coreProperties>
</file>