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C2" w:rsidRDefault="00AA76E4">
      <w:r>
        <w:t>………</w:t>
      </w:r>
      <w:r w:rsidR="00D203DA">
        <w:t xml:space="preserve"> </w:t>
      </w:r>
    </w:p>
    <w:p w:rsidR="00E27705" w:rsidRDefault="00E27705">
      <w:r>
        <w:t>……..</w:t>
      </w:r>
    </w:p>
    <w:p w:rsidR="00660EDE" w:rsidRDefault="006768C2">
      <w:r>
        <w:t xml:space="preserve">    </w:t>
      </w:r>
      <w:r w:rsidR="00B943CE">
        <w:t xml:space="preserve">                                </w:t>
      </w:r>
      <w:r w:rsidR="009B795F">
        <w:t xml:space="preserve">                                                                         </w:t>
      </w:r>
      <w:r w:rsidR="00E27705">
        <w:rPr>
          <w:noProof/>
          <w:lang w:eastAsia="hu-HU"/>
        </w:rPr>
        <w:drawing>
          <wp:inline distT="0" distB="0" distL="0" distR="0" wp14:anchorId="3479C711" wp14:editId="3ED6AF5E">
            <wp:extent cx="2221230" cy="882650"/>
            <wp:effectExtent l="0" t="0" r="7620" b="0"/>
            <wp:docPr id="3" name="Kép 3" descr="Képtalálat a következőre: „társashá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társasház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7" cy="90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95F">
        <w:t xml:space="preserve">               </w:t>
      </w:r>
    </w:p>
    <w:p w:rsidR="00580C34" w:rsidRDefault="00660EDE">
      <w:r>
        <w:t>Tisztelt …….. !</w:t>
      </w:r>
    </w:p>
    <w:p w:rsidR="00CA11A9" w:rsidRDefault="00660EDE" w:rsidP="00660EDE">
      <w:pPr>
        <w:jc w:val="both"/>
      </w:pPr>
      <w:r>
        <w:t xml:space="preserve">Örömmel értesítem, hogy </w:t>
      </w:r>
      <w:r w:rsidR="005504B1">
        <w:t>Társasházak/Lakásszövetkezetek</w:t>
      </w:r>
      <w:r>
        <w:t xml:space="preserve"> részére </w:t>
      </w:r>
      <w:r w:rsidR="005504B1">
        <w:t xml:space="preserve">újra </w:t>
      </w:r>
      <w:r>
        <w:t xml:space="preserve">egy kedvező </w:t>
      </w:r>
      <w:r w:rsidR="00A03741">
        <w:t>megtakarítási</w:t>
      </w:r>
      <w:r>
        <w:t xml:space="preserve"> program került kialakításra, amely az Önök számára is elérhető.</w:t>
      </w:r>
      <w:r w:rsidR="00CA11A9">
        <w:t xml:space="preserve"> </w:t>
      </w:r>
    </w:p>
    <w:p w:rsidR="00C349D9" w:rsidRDefault="00660EDE" w:rsidP="00660EDE">
      <w:pPr>
        <w:jc w:val="both"/>
      </w:pPr>
      <w:r>
        <w:t xml:space="preserve">Segítségével a </w:t>
      </w:r>
      <w:r w:rsidR="00C349D9">
        <w:t>lakóközösség</w:t>
      </w:r>
      <w:r>
        <w:t xml:space="preserve"> </w:t>
      </w:r>
      <w:r w:rsidRPr="00267E14">
        <w:rPr>
          <w:b/>
        </w:rPr>
        <w:t xml:space="preserve">nagyobb összeghez juthat </w:t>
      </w:r>
      <w:r w:rsidR="00C349D9" w:rsidRPr="00267E14">
        <w:rPr>
          <w:b/>
        </w:rPr>
        <w:t>felújítási céljaira</w:t>
      </w:r>
      <w:r w:rsidR="000D5464">
        <w:t>, a havi befizetéseire</w:t>
      </w:r>
      <w:r w:rsidR="000D5464" w:rsidRPr="000D5464">
        <w:t xml:space="preserve"> </w:t>
      </w:r>
      <w:r w:rsidR="000D5464">
        <w:t xml:space="preserve">jelentős bónuszra lesz jogosult minden évben, ezáltal </w:t>
      </w:r>
      <w:r w:rsidR="00C349D9" w:rsidRPr="00976168">
        <w:rPr>
          <w:b/>
        </w:rPr>
        <w:t>felújítási alapot</w:t>
      </w:r>
      <w:r w:rsidR="000D5464" w:rsidRPr="00976168">
        <w:rPr>
          <w:b/>
        </w:rPr>
        <w:t xml:space="preserve"> is képez</w:t>
      </w:r>
      <w:r w:rsidR="000D5464">
        <w:t xml:space="preserve"> (ami az állami kamattámogatásnak</w:t>
      </w:r>
      <w:r w:rsidR="00140F35">
        <w:t xml:space="preserve"> </w:t>
      </w:r>
      <w:r w:rsidR="000D5464">
        <w:t>is felté</w:t>
      </w:r>
      <w:r w:rsidR="00140F35">
        <w:t>tele).</w:t>
      </w:r>
    </w:p>
    <w:p w:rsidR="00763D6E" w:rsidRDefault="00763D6E" w:rsidP="00660EDE">
      <w:pPr>
        <w:jc w:val="both"/>
      </w:pPr>
      <w:r>
        <w:t xml:space="preserve">Lakás számlán gyűjtögetve </w:t>
      </w:r>
      <w:r w:rsidR="00CA11A9" w:rsidRPr="00CA11A9">
        <w:rPr>
          <w:b/>
        </w:rPr>
        <w:t>5-22,5</w:t>
      </w:r>
      <w:r w:rsidR="007F0A3D" w:rsidRPr="007F0A3D">
        <w:rPr>
          <w:b/>
        </w:rPr>
        <w:t>%</w:t>
      </w:r>
      <w:r>
        <w:t xml:space="preserve"> </w:t>
      </w:r>
      <w:r w:rsidRPr="00577058">
        <w:rPr>
          <w:b/>
        </w:rPr>
        <w:t>bó</w:t>
      </w:r>
      <w:r w:rsidR="00660EDE" w:rsidRPr="00577058">
        <w:rPr>
          <w:b/>
        </w:rPr>
        <w:t>nuszra</w:t>
      </w:r>
      <w:r w:rsidR="00660EDE">
        <w:t xml:space="preserve"> lesz jo</w:t>
      </w:r>
      <w:r>
        <w:t xml:space="preserve">gosult </w:t>
      </w:r>
      <w:r w:rsidR="007F0A3D" w:rsidRPr="00267E14">
        <w:rPr>
          <w:b/>
        </w:rPr>
        <w:t>évente</w:t>
      </w:r>
      <w:r w:rsidR="007F0A3D">
        <w:t xml:space="preserve"> </w:t>
      </w:r>
      <w:r>
        <w:t>a betéti kamaton felül</w:t>
      </w:r>
      <w:r w:rsidR="007064D2">
        <w:t xml:space="preserve"> – N tarifa - </w:t>
      </w:r>
      <w:r w:rsidR="002864CF" w:rsidRPr="002864CF">
        <w:t xml:space="preserve">(havi befizetései </w:t>
      </w:r>
      <w:r w:rsidR="002864CF">
        <w:t>után</w:t>
      </w:r>
      <w:r w:rsidR="002864CF" w:rsidRPr="002864CF">
        <w:t xml:space="preserve"> jóváírva</w:t>
      </w:r>
      <w:r w:rsidR="002864CF">
        <w:t xml:space="preserve"> minden évben</w:t>
      </w:r>
      <w:r w:rsidR="002864CF" w:rsidRPr="002864CF">
        <w:t>).</w:t>
      </w:r>
      <w:r w:rsidR="00632E22">
        <w:t xml:space="preserve"> </w:t>
      </w:r>
      <w:r w:rsidR="00341519">
        <w:t xml:space="preserve">A megtakarításaihoz lakáskölcsön is igénybe vehető, akár </w:t>
      </w:r>
      <w:r w:rsidR="00341519" w:rsidRPr="00341519">
        <w:rPr>
          <w:b/>
        </w:rPr>
        <w:t>2,9% hitel kamaton</w:t>
      </w:r>
      <w:r w:rsidR="007064D2">
        <w:t xml:space="preserve"> (K tarifa).</w:t>
      </w:r>
      <w:r w:rsidR="00632E22">
        <w:t xml:space="preserve"> </w:t>
      </w:r>
    </w:p>
    <w:p w:rsidR="00763D6E" w:rsidRPr="002B4F11" w:rsidRDefault="00763D6E" w:rsidP="001820BC">
      <w:pPr>
        <w:spacing w:after="0"/>
        <w:jc w:val="both"/>
        <w:rPr>
          <w:b/>
        </w:rPr>
      </w:pPr>
      <w:r w:rsidRPr="002B4F11">
        <w:rPr>
          <w:b/>
        </w:rPr>
        <w:t>Nyereséges:</w:t>
      </w:r>
    </w:p>
    <w:p w:rsidR="00763D6E" w:rsidRDefault="00771C03" w:rsidP="00763D6E">
      <w:pPr>
        <w:pStyle w:val="Listaszerbekezds"/>
        <w:numPr>
          <w:ilvl w:val="0"/>
          <w:numId w:val="1"/>
        </w:numPr>
        <w:jc w:val="both"/>
      </w:pPr>
      <w:r>
        <w:t>5-22,5</w:t>
      </w:r>
      <w:r w:rsidR="00763D6E">
        <w:t xml:space="preserve">% megtakarítási bónusz évente a befizetések alapján </w:t>
      </w:r>
    </w:p>
    <w:p w:rsidR="00763D6E" w:rsidRDefault="00BF7DAD" w:rsidP="00763D6E">
      <w:pPr>
        <w:pStyle w:val="Listaszerbekezds"/>
        <w:numPr>
          <w:ilvl w:val="0"/>
          <w:numId w:val="1"/>
        </w:numPr>
        <w:jc w:val="both"/>
      </w:pPr>
      <w:r>
        <w:t>b</w:t>
      </w:r>
      <w:r w:rsidR="00763D6E">
        <w:t>etéti kamat</w:t>
      </w:r>
    </w:p>
    <w:p w:rsidR="00763D6E" w:rsidRDefault="00763D6E" w:rsidP="00763D6E">
      <w:pPr>
        <w:pStyle w:val="Listaszerbekezds"/>
        <w:numPr>
          <w:ilvl w:val="0"/>
          <w:numId w:val="1"/>
        </w:numPr>
        <w:jc w:val="both"/>
      </w:pPr>
      <w:r>
        <w:t>kamatadó mentes</w:t>
      </w:r>
    </w:p>
    <w:p w:rsidR="003807A7" w:rsidRDefault="003807A7" w:rsidP="00763D6E">
      <w:pPr>
        <w:pStyle w:val="Listaszerbekezds"/>
        <w:numPr>
          <w:ilvl w:val="0"/>
          <w:numId w:val="1"/>
        </w:numPr>
        <w:jc w:val="both"/>
      </w:pPr>
      <w:r>
        <w:t>lejáratkor fix kamatú hitel elérhető hozzá</w:t>
      </w:r>
      <w:r w:rsidR="00771C03">
        <w:t xml:space="preserve"> akár 2,9% </w:t>
      </w:r>
      <w:r w:rsidR="00341519">
        <w:t>hitel kamaton</w:t>
      </w:r>
      <w:r>
        <w:t xml:space="preserve"> (</w:t>
      </w:r>
      <w:r w:rsidR="00771C03">
        <w:t>2,9-</w:t>
      </w:r>
      <w:r>
        <w:t>5,5%)</w:t>
      </w:r>
    </w:p>
    <w:p w:rsidR="00763D6E" w:rsidRPr="002B4F11" w:rsidRDefault="00763D6E" w:rsidP="001820BC">
      <w:pPr>
        <w:spacing w:after="0"/>
        <w:jc w:val="both"/>
        <w:rPr>
          <w:b/>
        </w:rPr>
      </w:pPr>
      <w:r w:rsidRPr="002B4F11">
        <w:rPr>
          <w:b/>
        </w:rPr>
        <w:t>Biztonságos:</w:t>
      </w:r>
    </w:p>
    <w:p w:rsidR="00F41774" w:rsidRDefault="00F41774" w:rsidP="00763D6E">
      <w:pPr>
        <w:pStyle w:val="Listaszerbekezds"/>
        <w:numPr>
          <w:ilvl w:val="0"/>
          <w:numId w:val="1"/>
        </w:numPr>
        <w:jc w:val="both"/>
      </w:pPr>
      <w:r>
        <w:t>fix</w:t>
      </w:r>
      <w:r w:rsidR="002A3318">
        <w:t xml:space="preserve"> kiszámítható</w:t>
      </w:r>
      <w:r>
        <w:t xml:space="preserve">, garantált </w:t>
      </w:r>
      <w:r w:rsidR="002A3318">
        <w:t>bónusszal és kamatokkal</w:t>
      </w:r>
    </w:p>
    <w:p w:rsidR="00763D6E" w:rsidRDefault="00581704" w:rsidP="00763D6E">
      <w:pPr>
        <w:pStyle w:val="Listaszerbekezds"/>
        <w:numPr>
          <w:ilvl w:val="0"/>
          <w:numId w:val="1"/>
        </w:numPr>
        <w:jc w:val="both"/>
      </w:pPr>
      <w:r>
        <w:t>OBA</w:t>
      </w:r>
      <w:r w:rsidR="00763D6E">
        <w:t xml:space="preserve"> garantált számla (biztonságos)</w:t>
      </w:r>
    </w:p>
    <w:p w:rsidR="00763D6E" w:rsidRDefault="00763D6E" w:rsidP="00763D6E">
      <w:pPr>
        <w:pStyle w:val="Listaszerbekezds"/>
        <w:numPr>
          <w:ilvl w:val="0"/>
          <w:numId w:val="1"/>
        </w:numPr>
        <w:jc w:val="both"/>
      </w:pPr>
      <w:r>
        <w:t>a Fundamenta-Lakáskassza garanciájával (Európában közel 100 év tapasztalat)</w:t>
      </w:r>
    </w:p>
    <w:p w:rsidR="00763D6E" w:rsidRPr="002B4F11" w:rsidRDefault="00632E22" w:rsidP="001820BC">
      <w:pPr>
        <w:spacing w:after="0"/>
        <w:jc w:val="both"/>
        <w:rPr>
          <w:b/>
        </w:rPr>
      </w:pPr>
      <w:r w:rsidRPr="002B4F11">
        <w:rPr>
          <w:b/>
        </w:rPr>
        <w:t>Rugalmas:</w:t>
      </w:r>
    </w:p>
    <w:p w:rsidR="00632E22" w:rsidRDefault="00632E22" w:rsidP="00632E22">
      <w:pPr>
        <w:pStyle w:val="Listaszerbekezds"/>
        <w:numPr>
          <w:ilvl w:val="0"/>
          <w:numId w:val="1"/>
        </w:numPr>
        <w:jc w:val="both"/>
      </w:pPr>
      <w:r>
        <w:t>bármikor felmondható és kivehetők a havi megtakarítások</w:t>
      </w:r>
      <w:r w:rsidR="005A39AD">
        <w:t xml:space="preserve"> betéti kamattal</w:t>
      </w:r>
      <w:r w:rsidR="00581704">
        <w:t xml:space="preserve"> (nincs kockázat)</w:t>
      </w:r>
    </w:p>
    <w:p w:rsidR="004B5884" w:rsidRPr="004B5884" w:rsidRDefault="004B5884" w:rsidP="004B5884">
      <w:pPr>
        <w:pStyle w:val="Listaszerbekezds"/>
        <w:numPr>
          <w:ilvl w:val="0"/>
          <w:numId w:val="1"/>
        </w:numPr>
      </w:pPr>
      <w:r w:rsidRPr="004B5884">
        <w:t>futamidő módosítható bárm</w:t>
      </w:r>
      <w:r>
        <w:t>ikor, rövidíthető is ezáltal (58</w:t>
      </w:r>
      <w:r w:rsidRPr="004B5884">
        <w:t>-199 hónap)</w:t>
      </w:r>
    </w:p>
    <w:p w:rsidR="00632E22" w:rsidRDefault="00632E22" w:rsidP="00632E22">
      <w:pPr>
        <w:pStyle w:val="Listaszerbekezds"/>
        <w:numPr>
          <w:ilvl w:val="0"/>
          <w:numId w:val="1"/>
        </w:numPr>
        <w:jc w:val="both"/>
      </w:pPr>
      <w:r>
        <w:t xml:space="preserve">bármilyen </w:t>
      </w:r>
      <w:r w:rsidR="0009777D">
        <w:t>felújítási/korszerűsítési célra</w:t>
      </w:r>
      <w:r>
        <w:t xml:space="preserve"> felhasználható</w:t>
      </w:r>
      <w:r w:rsidR="0009777D">
        <w:t xml:space="preserve"> a közös tulajdonú részeken</w:t>
      </w:r>
    </w:p>
    <w:p w:rsidR="00632E22" w:rsidRDefault="00C40332" w:rsidP="002617B3">
      <w:pPr>
        <w:pStyle w:val="Listaszerbekezds"/>
        <w:numPr>
          <w:ilvl w:val="0"/>
          <w:numId w:val="1"/>
        </w:numPr>
        <w:jc w:val="both"/>
      </w:pPr>
      <w:r>
        <w:t>jelentősen nagyobb</w:t>
      </w:r>
      <w:r w:rsidR="004A246F">
        <w:t xml:space="preserve"> </w:t>
      </w:r>
      <w:r w:rsidR="002617B3">
        <w:t xml:space="preserve">összegek </w:t>
      </w:r>
      <w:r>
        <w:t>is elérhetők</w:t>
      </w:r>
      <w:r w:rsidR="004D500F">
        <w:t>, nincsen felső határa a betehető összegnek</w:t>
      </w:r>
      <w:r w:rsidR="00205F93">
        <w:t xml:space="preserve"> és a kapható bónusznak.</w:t>
      </w:r>
    </w:p>
    <w:p w:rsidR="00306984" w:rsidRDefault="002B4F11" w:rsidP="00B943CE">
      <w:pPr>
        <w:spacing w:after="0"/>
        <w:jc w:val="both"/>
        <w:rPr>
          <w:b/>
        </w:rPr>
      </w:pPr>
      <w:r w:rsidRPr="006768C2">
        <w:rPr>
          <w:b/>
        </w:rPr>
        <w:t>Példa:</w:t>
      </w:r>
      <w:r w:rsidR="00B943CE">
        <w:rPr>
          <w:b/>
        </w:rPr>
        <w:t xml:space="preserve"> </w:t>
      </w:r>
    </w:p>
    <w:p w:rsidR="00975D57" w:rsidRPr="002B4F11" w:rsidRDefault="008602F4" w:rsidP="00B943CE">
      <w:pPr>
        <w:spacing w:after="0"/>
        <w:jc w:val="both"/>
      </w:pPr>
      <w:r>
        <w:t xml:space="preserve">N tarifa, </w:t>
      </w:r>
      <w:r w:rsidR="0016408C">
        <w:t>50</w:t>
      </w:r>
      <w:r w:rsidR="002B4F11" w:rsidRPr="002B4F11">
        <w:t>.000 Ft</w:t>
      </w:r>
      <w:r w:rsidR="00C56BBF">
        <w:t xml:space="preserve">/ </w:t>
      </w:r>
      <w:r w:rsidR="00F12C3F">
        <w:t>hó</w:t>
      </w:r>
      <w:r w:rsidR="002B4F11" w:rsidRPr="002B4F11">
        <w:t>, 1</w:t>
      </w:r>
      <w:r w:rsidR="00E63C85">
        <w:t>25</w:t>
      </w:r>
      <w:r w:rsidR="002B4F11" w:rsidRPr="002B4F11">
        <w:t xml:space="preserve"> hónap</w:t>
      </w:r>
      <w:r w:rsidR="00413810">
        <w:t>ra</w:t>
      </w:r>
      <w:r w:rsidR="002B4F11" w:rsidRPr="002B4F11">
        <w:t xml:space="preserve">, </w:t>
      </w:r>
      <w:r w:rsidR="00F12C3F">
        <w:t>e</w:t>
      </w:r>
      <w:r w:rsidR="005F7AB1">
        <w:t>lérhető összeg hit</w:t>
      </w:r>
      <w:r w:rsidR="00F12C3F">
        <w:t>ellel</w:t>
      </w:r>
      <w:r w:rsidR="0016408C">
        <w:t>: 15.620</w:t>
      </w:r>
      <w:r w:rsidR="002B4F11" w:rsidRPr="002B4F11">
        <w:t>.000 Ft</w:t>
      </w:r>
    </w:p>
    <w:p w:rsidR="002B4F11" w:rsidRDefault="00631A71" w:rsidP="006A17AE">
      <w:pPr>
        <w:jc w:val="center"/>
      </w:pPr>
      <w:r w:rsidRPr="00631A71">
        <w:drawing>
          <wp:inline distT="0" distB="0" distL="0" distR="0">
            <wp:extent cx="4685703" cy="984250"/>
            <wp:effectExtent l="0" t="0" r="635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12" cy="98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5810" w:rsidRDefault="00B3598D" w:rsidP="001F5810">
      <w:pPr>
        <w:jc w:val="center"/>
      </w:pPr>
      <w:r w:rsidRPr="00B3598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5DB64" wp14:editId="647EFF1B">
                <wp:simplePos x="0" y="0"/>
                <wp:positionH relativeFrom="column">
                  <wp:posOffset>1687147</wp:posOffset>
                </wp:positionH>
                <wp:positionV relativeFrom="paragraph">
                  <wp:posOffset>5418</wp:posOffset>
                </wp:positionV>
                <wp:extent cx="2192655" cy="786765"/>
                <wp:effectExtent l="0" t="76200" r="474345" b="13335"/>
                <wp:wrapNone/>
                <wp:docPr id="14" name="Téglalapbuboré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655" cy="786765"/>
                        </a:xfrm>
                        <a:prstGeom prst="wedgeRectCallout">
                          <a:avLst>
                            <a:gd name="adj1" fmla="val 68907"/>
                            <a:gd name="adj2" fmla="val -55194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6A8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598D" w:rsidRPr="00B3598D" w:rsidRDefault="00B3598D" w:rsidP="00B3598D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598D">
                              <w:rPr>
                                <w:rFonts w:ascii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Nyereség:</w:t>
                            </w:r>
                            <w:r w:rsidRPr="00B3598D">
                              <w:rPr>
                                <w:rFonts w:ascii="Calibri" w:hAnsi="Calibri" w:cstheme="minorBidi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közel </w:t>
                            </w:r>
                            <w:r>
                              <w:rPr>
                                <w:rFonts w:ascii="Calibri" w:hAnsi="Calibri" w:cstheme="minorBidi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13 havi</w:t>
                            </w:r>
                            <w:r w:rsidRPr="00B3598D">
                              <w:rPr>
                                <w:rFonts w:ascii="Calibri" w:hAnsi="Calibri" w:cstheme="minorBidi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befizetés</w:t>
                            </w:r>
                          </w:p>
                          <w:p w:rsidR="00B3598D" w:rsidRPr="00B3598D" w:rsidRDefault="00B3598D" w:rsidP="00B3598D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638 209</w:t>
                            </w:r>
                            <w:r w:rsidRPr="00B3598D">
                              <w:rPr>
                                <w:rFonts w:ascii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Ft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DB6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églalapbuborék 13" o:spid="_x0000_s1026" type="#_x0000_t61" style="position:absolute;left:0;text-align:left;margin-left:132.85pt;margin-top:.45pt;width:172.6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" adj="25684,-1122" fillcolor="red" strokecolor="#b57a00" strokeweight="1pt">
                <v:textbox>
                  <w:txbxContent>
                    <w:p w:rsidR="00B3598D" w:rsidRPr="00B3598D" w:rsidRDefault="00B3598D" w:rsidP="00B3598D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3598D">
                        <w:rPr>
                          <w:rFonts w:ascii="Calibri" w:hAnsi="Calibri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Nyereség:</w:t>
                      </w:r>
                      <w:r w:rsidRPr="00B3598D">
                        <w:rPr>
                          <w:rFonts w:ascii="Calibri" w:hAnsi="Calibri" w:cstheme="minorBidi"/>
                          <w:color w:val="FFFFFF"/>
                          <w:kern w:val="24"/>
                          <w:sz w:val="28"/>
                          <w:szCs w:val="28"/>
                        </w:rPr>
                        <w:t xml:space="preserve"> közel </w:t>
                      </w:r>
                      <w:r>
                        <w:rPr>
                          <w:rFonts w:ascii="Calibri" w:hAnsi="Calibri" w:cstheme="minorBidi"/>
                          <w:color w:val="FFFFFF"/>
                          <w:kern w:val="24"/>
                          <w:sz w:val="28"/>
                          <w:szCs w:val="28"/>
                        </w:rPr>
                        <w:t>13 havi</w:t>
                      </w:r>
                      <w:r w:rsidRPr="00B3598D">
                        <w:rPr>
                          <w:rFonts w:ascii="Calibri" w:hAnsi="Calibri" w:cstheme="minorBidi"/>
                          <w:color w:val="FFFFFF"/>
                          <w:kern w:val="24"/>
                          <w:sz w:val="28"/>
                          <w:szCs w:val="28"/>
                        </w:rPr>
                        <w:t xml:space="preserve"> befizetés</w:t>
                      </w:r>
                    </w:p>
                    <w:p w:rsidR="00B3598D" w:rsidRPr="00B3598D" w:rsidRDefault="00B3598D" w:rsidP="00B3598D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638 209</w:t>
                      </w:r>
                      <w:r w:rsidRPr="00B3598D">
                        <w:rPr>
                          <w:rFonts w:ascii="Calibri" w:hAnsi="Calibri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Ft</w:t>
                      </w:r>
                    </w:p>
                  </w:txbxContent>
                </v:textbox>
              </v:shape>
            </w:pict>
          </mc:Fallback>
        </mc:AlternateContent>
      </w:r>
    </w:p>
    <w:p w:rsidR="001F5810" w:rsidRDefault="001F5810" w:rsidP="002B4F11">
      <w:pPr>
        <w:jc w:val="both"/>
      </w:pPr>
    </w:p>
    <w:p w:rsidR="005504B1" w:rsidRDefault="00EA7922" w:rsidP="005504B1">
      <w:pPr>
        <w:jc w:val="center"/>
        <w:rPr>
          <w:noProof/>
          <w:lang w:eastAsia="hu-HU"/>
        </w:rPr>
      </w:pPr>
      <w:r>
        <w:rPr>
          <w:noProof/>
          <w:lang w:eastAsia="hu-HU"/>
        </w:rPr>
        <w:lastRenderedPageBreak/>
        <w:t>1</w:t>
      </w:r>
    </w:p>
    <w:p w:rsidR="00F41774" w:rsidRDefault="00443104" w:rsidP="005504B1">
      <w:pPr>
        <w:jc w:val="center"/>
      </w:pPr>
      <w:r>
        <w:rPr>
          <w:noProof/>
          <w:lang w:eastAsia="hu-HU"/>
        </w:rPr>
        <w:drawing>
          <wp:inline distT="0" distB="0" distL="0" distR="0" wp14:anchorId="740E7DC5">
            <wp:extent cx="3123565" cy="1095375"/>
            <wp:effectExtent l="0" t="0" r="63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7058" w:rsidRDefault="00577058" w:rsidP="00474D83">
      <w:pPr>
        <w:spacing w:after="0"/>
        <w:jc w:val="both"/>
      </w:pPr>
      <w:r>
        <w:t>Várom szíves visszajelzésüket.</w:t>
      </w:r>
    </w:p>
    <w:p w:rsidR="00B943CE" w:rsidRDefault="00B943CE" w:rsidP="002B4F11">
      <w:pPr>
        <w:jc w:val="both"/>
      </w:pPr>
    </w:p>
    <w:p w:rsidR="00577058" w:rsidRDefault="00577058" w:rsidP="002B4F11">
      <w:pPr>
        <w:jc w:val="both"/>
      </w:pPr>
      <w:r>
        <w:t>Tisztelettel:</w:t>
      </w:r>
    </w:p>
    <w:p w:rsidR="00577058" w:rsidRDefault="00577058" w:rsidP="002B4F11">
      <w:pPr>
        <w:jc w:val="both"/>
      </w:pPr>
      <w:r>
        <w:t>……..</w:t>
      </w:r>
    </w:p>
    <w:sectPr w:rsidR="0057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242" w:rsidRDefault="005C5242" w:rsidP="00B3598D">
      <w:pPr>
        <w:spacing w:after="0" w:line="240" w:lineRule="auto"/>
      </w:pPr>
      <w:r>
        <w:separator/>
      </w:r>
    </w:p>
  </w:endnote>
  <w:endnote w:type="continuationSeparator" w:id="0">
    <w:p w:rsidR="005C5242" w:rsidRDefault="005C5242" w:rsidP="00B3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242" w:rsidRDefault="005C5242" w:rsidP="00B3598D">
      <w:pPr>
        <w:spacing w:after="0" w:line="240" w:lineRule="auto"/>
      </w:pPr>
      <w:r>
        <w:separator/>
      </w:r>
    </w:p>
  </w:footnote>
  <w:footnote w:type="continuationSeparator" w:id="0">
    <w:p w:rsidR="005C5242" w:rsidRDefault="005C5242" w:rsidP="00B35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17B08"/>
    <w:multiLevelType w:val="hybridMultilevel"/>
    <w:tmpl w:val="9BE8995C"/>
    <w:lvl w:ilvl="0" w:tplc="283E4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C4"/>
    <w:rsid w:val="0009777D"/>
    <w:rsid w:val="000D5464"/>
    <w:rsid w:val="000D74A1"/>
    <w:rsid w:val="00140F35"/>
    <w:rsid w:val="0016408C"/>
    <w:rsid w:val="001820BC"/>
    <w:rsid w:val="001869D3"/>
    <w:rsid w:val="001C0DAB"/>
    <w:rsid w:val="001F5810"/>
    <w:rsid w:val="00205F93"/>
    <w:rsid w:val="0021590E"/>
    <w:rsid w:val="002617B3"/>
    <w:rsid w:val="00266C6D"/>
    <w:rsid w:val="00267E14"/>
    <w:rsid w:val="002864CF"/>
    <w:rsid w:val="002A3318"/>
    <w:rsid w:val="002B4F11"/>
    <w:rsid w:val="002D75DD"/>
    <w:rsid w:val="00304372"/>
    <w:rsid w:val="00306984"/>
    <w:rsid w:val="0032430E"/>
    <w:rsid w:val="00341519"/>
    <w:rsid w:val="003441D1"/>
    <w:rsid w:val="003807A7"/>
    <w:rsid w:val="003870BD"/>
    <w:rsid w:val="00395AA9"/>
    <w:rsid w:val="003D2515"/>
    <w:rsid w:val="003D34C6"/>
    <w:rsid w:val="00413810"/>
    <w:rsid w:val="00443104"/>
    <w:rsid w:val="00474D83"/>
    <w:rsid w:val="004801C4"/>
    <w:rsid w:val="004A246F"/>
    <w:rsid w:val="004B5884"/>
    <w:rsid w:val="004D500F"/>
    <w:rsid w:val="005504B1"/>
    <w:rsid w:val="00577058"/>
    <w:rsid w:val="00580C34"/>
    <w:rsid w:val="00581704"/>
    <w:rsid w:val="005A39AD"/>
    <w:rsid w:val="005C47F7"/>
    <w:rsid w:val="005C5242"/>
    <w:rsid w:val="005E79F6"/>
    <w:rsid w:val="005F7AB1"/>
    <w:rsid w:val="006231DA"/>
    <w:rsid w:val="00631A71"/>
    <w:rsid w:val="00632E22"/>
    <w:rsid w:val="0064782F"/>
    <w:rsid w:val="00660EDE"/>
    <w:rsid w:val="006768C2"/>
    <w:rsid w:val="00693AA5"/>
    <w:rsid w:val="006A17AE"/>
    <w:rsid w:val="006A7169"/>
    <w:rsid w:val="007064D2"/>
    <w:rsid w:val="00763D6E"/>
    <w:rsid w:val="00771C03"/>
    <w:rsid w:val="007A3E23"/>
    <w:rsid w:val="007F0A3D"/>
    <w:rsid w:val="008602F4"/>
    <w:rsid w:val="00866075"/>
    <w:rsid w:val="00974A8F"/>
    <w:rsid w:val="00975D57"/>
    <w:rsid w:val="00976168"/>
    <w:rsid w:val="00986F4A"/>
    <w:rsid w:val="009B795F"/>
    <w:rsid w:val="00A03741"/>
    <w:rsid w:val="00AA76E4"/>
    <w:rsid w:val="00B3598D"/>
    <w:rsid w:val="00B5019E"/>
    <w:rsid w:val="00B943CE"/>
    <w:rsid w:val="00BF7DAD"/>
    <w:rsid w:val="00C3395D"/>
    <w:rsid w:val="00C349D9"/>
    <w:rsid w:val="00C40332"/>
    <w:rsid w:val="00C56BBF"/>
    <w:rsid w:val="00CA11A9"/>
    <w:rsid w:val="00CF3F26"/>
    <w:rsid w:val="00D203DA"/>
    <w:rsid w:val="00D306D3"/>
    <w:rsid w:val="00D445FD"/>
    <w:rsid w:val="00D73642"/>
    <w:rsid w:val="00E27705"/>
    <w:rsid w:val="00E55060"/>
    <w:rsid w:val="00E63C85"/>
    <w:rsid w:val="00E90B3B"/>
    <w:rsid w:val="00EA4D9F"/>
    <w:rsid w:val="00EA7922"/>
    <w:rsid w:val="00EC2169"/>
    <w:rsid w:val="00F12C3F"/>
    <w:rsid w:val="00F41774"/>
    <w:rsid w:val="00F5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68B25D-287F-4191-B8A6-FD389A18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3D6E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2B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56AD2-ED72-46E9-9B33-3B4B7842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206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Fundamenta Lakáskassza Zrt.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Berkes Péter</dc:creator>
  <cp:keywords/>
  <dc:description/>
  <cp:lastModifiedBy>PM Berkes Péter</cp:lastModifiedBy>
  <cp:revision>184</cp:revision>
  <dcterms:created xsi:type="dcterms:W3CDTF">2019-09-24T12:17:00Z</dcterms:created>
  <dcterms:modified xsi:type="dcterms:W3CDTF">2021-04-13T07:24:00Z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ab31b-5b25-4f00-818c-6c8176d866d0_Enabled">
    <vt:lpwstr>true</vt:lpwstr>
  </property>
  <property fmtid="{D5CDD505-2E9C-101B-9397-08002B2CF9AE}" pid="3" name="MSIP_Label_43eab31b-5b25-4f00-818c-6c8176d866d0_SetDate">
    <vt:lpwstr>2021-04-12T10:05:20Z</vt:lpwstr>
  </property>
  <property fmtid="{D5CDD505-2E9C-101B-9397-08002B2CF9AE}" pid="4" name="MSIP_Label_43eab31b-5b25-4f00-818c-6c8176d866d0_Method">
    <vt:lpwstr>Standard</vt:lpwstr>
  </property>
  <property fmtid="{D5CDD505-2E9C-101B-9397-08002B2CF9AE}" pid="5" name="MSIP_Label_43eab31b-5b25-4f00-818c-6c8176d866d0_Name">
    <vt:lpwstr>Belső nyilvános</vt:lpwstr>
  </property>
  <property fmtid="{D5CDD505-2E9C-101B-9397-08002B2CF9AE}" pid="6" name="MSIP_Label_43eab31b-5b25-4f00-818c-6c8176d866d0_SiteId">
    <vt:lpwstr>a244fa06-fd17-4daf-831c-c8c23d2702cf</vt:lpwstr>
  </property>
  <property fmtid="{D5CDD505-2E9C-101B-9397-08002B2CF9AE}" pid="7" name="MSIP_Label_43eab31b-5b25-4f00-818c-6c8176d866d0_ActionId">
    <vt:lpwstr>2291ec8d-4ce6-49e8-b936-2c661e85f162</vt:lpwstr>
  </property>
  <property fmtid="{D5CDD505-2E9C-101B-9397-08002B2CF9AE}" pid="8" name="MSIP_Label_43eab31b-5b25-4f00-818c-6c8176d866d0_ContentBits">
    <vt:lpwstr>0</vt:lpwstr>
  </property>
</Properties>
</file>