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A5" w:rsidRDefault="004C0CA5" w:rsidP="004C0CA5">
      <w:pPr>
        <w:pStyle w:val="Listaszerbekezds"/>
        <w:numPr>
          <w:ilvl w:val="0"/>
          <w:numId w:val="1"/>
        </w:numPr>
        <w:spacing w:after="160" w:line="252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Épületfeltüntetés kiigazítása – lényegesen egyszerűsödik!</w:t>
      </w:r>
    </w:p>
    <w:p w:rsidR="004C0CA5" w:rsidRDefault="004C0CA5" w:rsidP="004C0CA5">
      <w:pPr>
        <w:spacing w:after="160" w:line="252" w:lineRule="auto"/>
        <w:contextualSpacing/>
        <w:jc w:val="both"/>
        <w:rPr>
          <w:color w:val="C00000"/>
        </w:rPr>
      </w:pPr>
      <w:r>
        <w:rPr>
          <w:b/>
          <w:bCs/>
          <w:color w:val="C00000"/>
        </w:rPr>
        <w:t>Támogatással nem érintett ügyletek:</w:t>
      </w:r>
      <w:r>
        <w:rPr>
          <w:color w:val="C00000"/>
        </w:rPr>
        <w:t xml:space="preserve"> </w:t>
      </w:r>
    </w:p>
    <w:p w:rsidR="004C0CA5" w:rsidRDefault="004C0CA5" w:rsidP="004C0CA5">
      <w:pPr>
        <w:spacing w:after="160" w:line="252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Csak akkor szükséges – </w:t>
      </w:r>
      <w:r>
        <w:rPr>
          <w:b/>
          <w:bCs/>
          <w:u w:val="single"/>
        </w:rPr>
        <w:t xml:space="preserve">folyósításra </w:t>
      </w:r>
      <w:r>
        <w:rPr>
          <w:b/>
          <w:bCs/>
        </w:rPr>
        <w:t>- a térképkivonaton nem szereplő épületrész (bővítmény) kapcsán az épületfeltüntetés, ha:</w:t>
      </w:r>
    </w:p>
    <w:p w:rsidR="004C0CA5" w:rsidRDefault="004C0CA5" w:rsidP="004C0CA5">
      <w:pPr>
        <w:pStyle w:val="Listaszerbekezds"/>
        <w:numPr>
          <w:ilvl w:val="0"/>
          <w:numId w:val="2"/>
        </w:numPr>
        <w:spacing w:after="160" w:line="252" w:lineRule="auto"/>
        <w:contextualSpacing/>
        <w:jc w:val="both"/>
      </w:pPr>
      <w:r>
        <w:t xml:space="preserve">A lakóépület elvárt </w:t>
      </w:r>
      <w:r>
        <w:rPr>
          <w:b/>
          <w:bCs/>
        </w:rPr>
        <w:t xml:space="preserve">komfortossága </w:t>
      </w:r>
      <w:r>
        <w:t>(a lakás legalább komfortos mivolta) a térképkivonaton nem szereplő épületrész hiányában nem teljesül.</w:t>
      </w:r>
    </w:p>
    <w:p w:rsidR="004C0CA5" w:rsidRDefault="004C0CA5" w:rsidP="004C0CA5">
      <w:pPr>
        <w:pStyle w:val="Listaszerbekezds"/>
        <w:numPr>
          <w:ilvl w:val="0"/>
          <w:numId w:val="2"/>
        </w:numPr>
        <w:spacing w:after="160" w:line="252" w:lineRule="auto"/>
        <w:contextualSpacing/>
        <w:jc w:val="both"/>
      </w:pPr>
      <w:r>
        <w:t xml:space="preserve">A </w:t>
      </w:r>
      <w:r>
        <w:rPr>
          <w:b/>
          <w:bCs/>
        </w:rPr>
        <w:t>lakás fogalomnak</w:t>
      </w:r>
      <w:r>
        <w:t xml:space="preserve"> való megfelelés a térképkivonaton nem szereplő épületrész hiányában nem teljesül.</w:t>
      </w:r>
    </w:p>
    <w:p w:rsidR="004C0CA5" w:rsidRDefault="004C0CA5" w:rsidP="004C0CA5">
      <w:pPr>
        <w:pStyle w:val="Listaszerbekezds"/>
        <w:numPr>
          <w:ilvl w:val="0"/>
          <w:numId w:val="2"/>
        </w:numPr>
        <w:spacing w:after="160" w:line="252" w:lineRule="auto"/>
        <w:contextualSpacing/>
        <w:jc w:val="both"/>
      </w:pPr>
      <w:r>
        <w:t xml:space="preserve">Az ügyfél által </w:t>
      </w:r>
      <w:r>
        <w:rPr>
          <w:b/>
          <w:bCs/>
        </w:rPr>
        <w:t xml:space="preserve">elvárt </w:t>
      </w:r>
      <w:proofErr w:type="gramStart"/>
      <w:r>
        <w:rPr>
          <w:b/>
          <w:bCs/>
        </w:rPr>
        <w:t>finanszírozási</w:t>
      </w:r>
      <w:proofErr w:type="gramEnd"/>
      <w:r>
        <w:rPr>
          <w:b/>
          <w:bCs/>
        </w:rPr>
        <w:t xml:space="preserve"> arány miatt</w:t>
      </w:r>
      <w:r>
        <w:t xml:space="preserve"> az épületfeltüntetés kiigazítása indokolja.</w:t>
      </w:r>
    </w:p>
    <w:p w:rsidR="004C0CA5" w:rsidRDefault="004C0CA5" w:rsidP="004C0CA5">
      <w:pPr>
        <w:spacing w:after="160" w:line="252" w:lineRule="auto"/>
        <w:contextualSpacing/>
        <w:jc w:val="both"/>
      </w:pPr>
      <w:r>
        <w:t xml:space="preserve">Az épületfeltüntetés térképészeti kiigazítását (az épületrész vonatkozásában) folyósítás előtt a </w:t>
      </w:r>
      <w:r>
        <w:rPr>
          <w:b/>
          <w:bCs/>
        </w:rPr>
        <w:t>Fedezetértékelés ellenőrzi</w:t>
      </w:r>
      <w:r>
        <w:t xml:space="preserve"> a térképmásolat alapján.</w:t>
      </w:r>
    </w:p>
    <w:p w:rsidR="004C0CA5" w:rsidRDefault="004C0CA5" w:rsidP="004C0CA5">
      <w:pPr>
        <w:spacing w:after="160" w:line="252" w:lineRule="auto"/>
        <w:contextualSpacing/>
        <w:jc w:val="both"/>
        <w:rPr>
          <w:b/>
          <w:bCs/>
          <w:sz w:val="10"/>
          <w:szCs w:val="10"/>
          <w:u w:val="single"/>
        </w:rPr>
      </w:pPr>
    </w:p>
    <w:p w:rsidR="004C0CA5" w:rsidRDefault="004C0CA5" w:rsidP="004C0CA5">
      <w:pPr>
        <w:spacing w:after="160" w:line="252" w:lineRule="auto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Folyósítás utáni feltétel akkor lehet, ha</w:t>
      </w:r>
    </w:p>
    <w:p w:rsidR="004C0CA5" w:rsidRDefault="004C0CA5" w:rsidP="004C0CA5">
      <w:pPr>
        <w:spacing w:after="160" w:line="252" w:lineRule="auto"/>
        <w:contextualSpacing/>
        <w:jc w:val="both"/>
      </w:pPr>
      <w:proofErr w:type="gramStart"/>
      <w:r>
        <w:t>a</w:t>
      </w:r>
      <w:proofErr w:type="gramEnd"/>
      <w:r>
        <w:t xml:space="preserve"> térképkivonaton nem szereplő épületrészre - használatba vételi engedélynek megfelelő Építésügyi Hatósági határozat áll rendelkezésre.</w:t>
      </w:r>
    </w:p>
    <w:p w:rsidR="004C0CA5" w:rsidRDefault="004C0CA5" w:rsidP="004C0CA5">
      <w:pPr>
        <w:spacing w:after="160" w:line="252" w:lineRule="auto"/>
        <w:contextualSpacing/>
        <w:jc w:val="both"/>
        <w:rPr>
          <w:sz w:val="10"/>
          <w:szCs w:val="10"/>
        </w:rPr>
      </w:pPr>
    </w:p>
    <w:p w:rsidR="004C0CA5" w:rsidRDefault="004C0CA5" w:rsidP="004C0CA5">
      <w:pPr>
        <w:spacing w:after="160" w:line="252" w:lineRule="auto"/>
        <w:contextualSpacing/>
        <w:jc w:val="both"/>
        <w:rPr>
          <w:b/>
          <w:bCs/>
        </w:rPr>
      </w:pPr>
      <w:r>
        <w:rPr>
          <w:b/>
          <w:bCs/>
        </w:rPr>
        <w:t>Egyéb esetekben támogatás nélküli piaci igénylések esetén nincs szükség épületfeltüntetés előírására. Ilyen esetben az értékbecslés a térképkivonaton nem szereplő épületrész nélkül (annak értékének és területének figyelmen kívül hagyása mellett) készül.</w:t>
      </w:r>
    </w:p>
    <w:p w:rsidR="004C0CA5" w:rsidRDefault="004C0CA5" w:rsidP="004C0CA5">
      <w:pPr>
        <w:spacing w:after="160" w:line="252" w:lineRule="auto"/>
        <w:contextualSpacing/>
        <w:jc w:val="both"/>
        <w:rPr>
          <w:sz w:val="10"/>
          <w:szCs w:val="10"/>
        </w:rPr>
      </w:pPr>
    </w:p>
    <w:p w:rsidR="004C0CA5" w:rsidRDefault="004C0CA5" w:rsidP="004C0CA5">
      <w:pPr>
        <w:spacing w:after="160" w:line="252" w:lineRule="auto"/>
        <w:contextualSpacing/>
        <w:jc w:val="both"/>
        <w:rPr>
          <w:b/>
          <w:bCs/>
        </w:rPr>
      </w:pPr>
      <w:r>
        <w:rPr>
          <w:b/>
          <w:bCs/>
          <w:color w:val="C00000"/>
        </w:rPr>
        <w:t>Támogatással érintett ügyletek</w:t>
      </w:r>
      <w:r>
        <w:rPr>
          <w:color w:val="C00000"/>
        </w:rPr>
        <w:t xml:space="preserve">: </w:t>
      </w:r>
    </w:p>
    <w:p w:rsidR="004C0CA5" w:rsidRDefault="004C0CA5" w:rsidP="004C0CA5">
      <w:pPr>
        <w:spacing w:after="160" w:line="252" w:lineRule="auto"/>
        <w:contextualSpacing/>
        <w:jc w:val="both"/>
      </w:pPr>
      <w:r>
        <w:rPr>
          <w:b/>
          <w:bCs/>
        </w:rPr>
        <w:t>Akkor szükséges –</w:t>
      </w:r>
      <w:r>
        <w:rPr>
          <w:b/>
          <w:bCs/>
          <w:u w:val="single"/>
        </w:rPr>
        <w:t xml:space="preserve"> folyósításra</w:t>
      </w:r>
      <w:r>
        <w:rPr>
          <w:b/>
          <w:bCs/>
        </w:rPr>
        <w:t xml:space="preserve"> -</w:t>
      </w:r>
      <w:r>
        <w:t xml:space="preserve"> a térképkivonaton nem szereplő épületrész (bővítmény) kapcsán is az </w:t>
      </w:r>
      <w:r>
        <w:rPr>
          <w:b/>
          <w:bCs/>
        </w:rPr>
        <w:t>épületfeltüntetés</w:t>
      </w:r>
      <w:r>
        <w:t>, ha:</w:t>
      </w:r>
    </w:p>
    <w:p w:rsidR="004C0CA5" w:rsidRDefault="004C0CA5" w:rsidP="004C0CA5">
      <w:pPr>
        <w:pStyle w:val="Listaszerbekezds"/>
        <w:numPr>
          <w:ilvl w:val="0"/>
          <w:numId w:val="3"/>
        </w:numPr>
        <w:spacing w:after="160" w:line="252" w:lineRule="auto"/>
        <w:contextualSpacing/>
        <w:jc w:val="both"/>
      </w:pPr>
      <w:r>
        <w:t xml:space="preserve">CSOK/ÁFA </w:t>
      </w:r>
      <w:r>
        <w:rPr>
          <w:b/>
          <w:bCs/>
        </w:rPr>
        <w:t>lakás fogalomnak</w:t>
      </w:r>
      <w:r>
        <w:t xml:space="preserve"> való megfelelés a kritikus helyiség hiányában (mely </w:t>
      </w:r>
      <w:proofErr w:type="gramStart"/>
      <w:r>
        <w:t>a</w:t>
      </w:r>
      <w:proofErr w:type="gramEnd"/>
      <w:r>
        <w:t xml:space="preserve"> térképkivonaton nem szereplő épületrészen található) nem teljesül. (például: az egyetlen fürdőszoba/az egyetlen konyha/az egyetlen lakószoba/az egyetlen mellékhelység/a kazánház nem szerepel a térképen).</w:t>
      </w:r>
    </w:p>
    <w:p w:rsidR="004C0CA5" w:rsidRDefault="004C0CA5" w:rsidP="004C0CA5">
      <w:pPr>
        <w:pStyle w:val="Listaszerbekezds"/>
        <w:numPr>
          <w:ilvl w:val="0"/>
          <w:numId w:val="3"/>
        </w:numPr>
        <w:spacing w:after="160" w:line="252" w:lineRule="auto"/>
        <w:contextualSpacing/>
        <w:jc w:val="both"/>
      </w:pPr>
      <w:r>
        <w:t xml:space="preserve">Térképkivonaton nem szereplő épületrész nélkül a </w:t>
      </w:r>
      <w:r>
        <w:rPr>
          <w:b/>
          <w:bCs/>
        </w:rPr>
        <w:t>CSOK hasznos alapterület</w:t>
      </w:r>
      <w:r>
        <w:t xml:space="preserve"> nem érné el a gyermekek száma alapján szükséges minimum méretet. (használt lakás: egy gyermek 40 m2, két gyermek 50 m2, három gyermek 60 m2, négy gyermek 70 m2).</w:t>
      </w:r>
    </w:p>
    <w:p w:rsidR="004C0CA5" w:rsidRDefault="004C0CA5" w:rsidP="004C0CA5">
      <w:pPr>
        <w:pStyle w:val="Listaszerbekezds"/>
        <w:numPr>
          <w:ilvl w:val="0"/>
          <w:numId w:val="3"/>
        </w:numPr>
        <w:spacing w:after="160" w:line="252" w:lineRule="auto"/>
        <w:contextualSpacing/>
        <w:jc w:val="both"/>
      </w:pPr>
      <w:r>
        <w:t xml:space="preserve">Térképkivonaton nem szereplő épületrész nélkül az épület egyes helyiségei </w:t>
      </w:r>
      <w:r>
        <w:rPr>
          <w:b/>
          <w:bCs/>
        </w:rPr>
        <w:t>belülről nem megközelíthetők</w:t>
      </w:r>
      <w:r>
        <w:t xml:space="preserve">, és a kieső helyiségek nélkül vagy a CSOK jogszabályi lakás fogalma, vagy a CSOK </w:t>
      </w:r>
      <w:proofErr w:type="gramStart"/>
      <w:r>
        <w:t>minimális</w:t>
      </w:r>
      <w:proofErr w:type="gramEnd"/>
      <w:r>
        <w:t xml:space="preserve"> hasznos alapterület elvárás sérül.</w:t>
      </w:r>
    </w:p>
    <w:p w:rsidR="004C0CA5" w:rsidRDefault="004C0CA5" w:rsidP="004C0CA5">
      <w:pPr>
        <w:pStyle w:val="Listaszerbekezds"/>
        <w:numPr>
          <w:ilvl w:val="0"/>
          <w:numId w:val="3"/>
        </w:numPr>
        <w:spacing w:after="160" w:line="252" w:lineRule="auto"/>
        <w:contextualSpacing/>
        <w:jc w:val="both"/>
      </w:pPr>
      <w:r>
        <w:t xml:space="preserve">A fel nem tüntetett épületrész értékelése nélkül a </w:t>
      </w:r>
      <w:r>
        <w:rPr>
          <w:b/>
          <w:bCs/>
        </w:rPr>
        <w:t>CSOK 20%-</w:t>
      </w:r>
      <w:proofErr w:type="spellStart"/>
      <w:r>
        <w:rPr>
          <w:b/>
          <w:bCs/>
        </w:rPr>
        <w:t>os</w:t>
      </w:r>
      <w:proofErr w:type="spellEnd"/>
      <w:r>
        <w:rPr>
          <w:b/>
          <w:bCs/>
        </w:rPr>
        <w:t xml:space="preserve"> szabály sérül</w:t>
      </w:r>
      <w:r>
        <w:t>.</w:t>
      </w:r>
    </w:p>
    <w:p w:rsidR="004C0CA5" w:rsidRDefault="004C0CA5" w:rsidP="004C0CA5">
      <w:pPr>
        <w:spacing w:after="160" w:line="252" w:lineRule="auto"/>
        <w:contextualSpacing/>
        <w:jc w:val="both"/>
      </w:pPr>
      <w:r>
        <w:rPr>
          <w:b/>
          <w:bCs/>
          <w:highlight w:val="yellow"/>
        </w:rPr>
        <w:t>FONTOS!</w:t>
      </w:r>
      <w:r>
        <w:rPr>
          <w:highlight w:val="yellow"/>
        </w:rPr>
        <w:t xml:space="preserve"> A támogatással érintett megrendelések esetén, hogy ki legyen töltve az elvárt minimum nm a megrendelőlapon!</w:t>
      </w:r>
    </w:p>
    <w:p w:rsidR="004C0CA5" w:rsidRDefault="004C0CA5" w:rsidP="004C0CA5">
      <w:pPr>
        <w:spacing w:after="160" w:line="252" w:lineRule="auto"/>
        <w:contextualSpacing/>
        <w:jc w:val="both"/>
      </w:pPr>
    </w:p>
    <w:p w:rsidR="004C0CA5" w:rsidRDefault="004C0CA5" w:rsidP="004C0CA5">
      <w:pPr>
        <w:spacing w:after="160" w:line="252" w:lineRule="auto"/>
        <w:contextualSpacing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2701925</wp:posOffset>
            </wp:positionH>
            <wp:positionV relativeFrom="paragraph">
              <wp:posOffset>656590</wp:posOffset>
            </wp:positionV>
            <wp:extent cx="3057525" cy="228600"/>
            <wp:effectExtent l="0" t="0" r="9525" b="0"/>
            <wp:wrapNone/>
            <wp:docPr id="3" name="Ké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erekített téglalap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>
            <wp:extent cx="5784850" cy="1079500"/>
            <wp:effectExtent l="0" t="0" r="6350" b="6350"/>
            <wp:docPr id="2" name="Kép 2" descr="cid:image009.jpg@01D6D557.E1BA6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9.jpg@01D6D557.E1BA6A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A5" w:rsidRDefault="004C0CA5" w:rsidP="004C0CA5">
      <w:pPr>
        <w:spacing w:after="160" w:line="252" w:lineRule="auto"/>
        <w:contextualSpacing/>
        <w:jc w:val="both"/>
        <w:rPr>
          <w:sz w:val="10"/>
          <w:szCs w:val="10"/>
        </w:rPr>
      </w:pPr>
    </w:p>
    <w:p w:rsidR="004C0CA5" w:rsidRDefault="004C0CA5" w:rsidP="004C0CA5">
      <w:pPr>
        <w:spacing w:after="160" w:line="252" w:lineRule="auto"/>
        <w:contextualSpacing/>
        <w:jc w:val="both"/>
      </w:pPr>
      <w:r>
        <w:t>Az épületfeltüntetés térképészeti kiigazítását (az épületrész vonatkozásában) folyósítás előtt a Fedezetértékelés ellenőrzi térképmásolat alapján.</w:t>
      </w:r>
    </w:p>
    <w:p w:rsidR="004C0CA5" w:rsidRDefault="004C0CA5" w:rsidP="004C0CA5">
      <w:pPr>
        <w:spacing w:after="160" w:line="252" w:lineRule="auto"/>
        <w:contextualSpacing/>
        <w:jc w:val="both"/>
        <w:rPr>
          <w:sz w:val="10"/>
          <w:szCs w:val="10"/>
        </w:rPr>
      </w:pPr>
    </w:p>
    <w:p w:rsidR="004C0CA5" w:rsidRDefault="004C0CA5" w:rsidP="004C0CA5">
      <w:pPr>
        <w:spacing w:after="160" w:line="252" w:lineRule="auto"/>
        <w:contextualSpacing/>
        <w:jc w:val="both"/>
        <w:rPr>
          <w:b/>
          <w:bCs/>
        </w:rPr>
      </w:pPr>
      <w:r>
        <w:rPr>
          <w:b/>
          <w:bCs/>
        </w:rPr>
        <w:t>Egyéb esetekben nincs szükség épületfeltüntetésre, és az értékbecslés a térképkivonaton nem szereplő épületrész nélkül (annak értékének és területének figyelmen kívül hagyása mellett) elkészül.</w:t>
      </w:r>
    </w:p>
    <w:p w:rsidR="004C0CA5" w:rsidRDefault="004C0CA5" w:rsidP="004C0CA5">
      <w:pPr>
        <w:pStyle w:val="Listaszerbekezds"/>
        <w:numPr>
          <w:ilvl w:val="0"/>
          <w:numId w:val="1"/>
        </w:numPr>
        <w:spacing w:after="160" w:line="252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Bérletiltásról szóló munkavállalói nyilatkozat rákerült az igénylőlap 3. oldalára!</w:t>
      </w:r>
    </w:p>
    <w:p w:rsidR="004C0CA5" w:rsidRDefault="004C0CA5" w:rsidP="004C0CA5">
      <w:pPr>
        <w:spacing w:after="160" w:line="252" w:lineRule="auto"/>
        <w:contextualSpacing/>
        <w:jc w:val="both"/>
      </w:pPr>
      <w:r>
        <w:t>A munkáltatói igazolásról gyakran maradt le a bérletiltásról szóló nyilatkozat aláírása/kitöltése melyeket szerződéskötésre kértünk pótolni. Ezúttal ez nem fordulhat elő többet.</w:t>
      </w:r>
    </w:p>
    <w:p w:rsidR="004C0CA5" w:rsidRDefault="004C0CA5" w:rsidP="004C0CA5">
      <w:pPr>
        <w:spacing w:after="160" w:line="252" w:lineRule="auto"/>
        <w:contextualSpacing/>
        <w:jc w:val="both"/>
      </w:pPr>
      <w:r>
        <w:t>A nyilatkozat rákerült a kölcsönigénylő 3. oldalára a munkáltatói igazolásról pedig lekerült.</w:t>
      </w:r>
    </w:p>
    <w:p w:rsidR="004C0CA5" w:rsidRDefault="004C0CA5" w:rsidP="004C0CA5">
      <w:pPr>
        <w:spacing w:after="160" w:line="252" w:lineRule="auto"/>
        <w:contextualSpacing/>
        <w:jc w:val="both"/>
        <w:rPr>
          <w:sz w:val="10"/>
          <w:szCs w:val="10"/>
        </w:rPr>
      </w:pPr>
    </w:p>
    <w:p w:rsidR="004C0CA5" w:rsidRDefault="004C0CA5" w:rsidP="004C0CA5">
      <w:pPr>
        <w:spacing w:after="160" w:line="252" w:lineRule="auto"/>
        <w:contextualSpacing/>
        <w:jc w:val="both"/>
      </w:pPr>
      <w:r>
        <w:rPr>
          <w:noProof/>
          <w:lang w:eastAsia="hu-HU"/>
        </w:rPr>
        <w:drawing>
          <wp:inline distT="0" distB="0" distL="0" distR="0">
            <wp:extent cx="5784850" cy="1498600"/>
            <wp:effectExtent l="0" t="0" r="6350" b="6350"/>
            <wp:docPr id="1" name="Kép 1" descr="cid:image010.jpg@01D6D557.E1BA6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10.jpg@01D6D557.E1BA6A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A5" w:rsidRDefault="004C0CA5" w:rsidP="004C0CA5">
      <w:pPr>
        <w:rPr>
          <w:b/>
          <w:bCs/>
          <w:color w:val="C00000"/>
        </w:rPr>
      </w:pPr>
    </w:p>
    <w:p w:rsidR="004C0CA5" w:rsidRDefault="004C0CA5" w:rsidP="004C0CA5">
      <w:pPr>
        <w:pStyle w:val="Listaszerbekezds"/>
        <w:ind w:left="1080"/>
        <w:rPr>
          <w:color w:val="C00000"/>
          <w:sz w:val="24"/>
          <w:szCs w:val="24"/>
        </w:rPr>
      </w:pPr>
    </w:p>
    <w:p w:rsidR="004C0CA5" w:rsidRPr="004C0CA5" w:rsidRDefault="004C0CA5" w:rsidP="004C0CA5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4C0CA5">
        <w:rPr>
          <w:b/>
          <w:bCs/>
          <w:sz w:val="24"/>
          <w:szCs w:val="24"/>
        </w:rPr>
        <w:t>Elkerülhető adásvételi szerződés módosítások megszűntetése!</w:t>
      </w:r>
      <w:r>
        <w:rPr>
          <w:b/>
          <w:bCs/>
          <w:sz w:val="24"/>
          <w:szCs w:val="24"/>
        </w:rPr>
        <w:t xml:space="preserve"> </w:t>
      </w:r>
    </w:p>
    <w:p w:rsidR="004C0CA5" w:rsidRDefault="004C0CA5" w:rsidP="004C0CA5">
      <w:pPr>
        <w:rPr>
          <w:sz w:val="24"/>
          <w:szCs w:val="24"/>
        </w:rPr>
      </w:pPr>
    </w:p>
    <w:p w:rsidR="004C0CA5" w:rsidRDefault="004C0CA5" w:rsidP="004C0C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Sikerült olyan </w:t>
      </w:r>
      <w:proofErr w:type="gramStart"/>
      <w:r>
        <w:rPr>
          <w:b/>
          <w:bCs/>
          <w:sz w:val="24"/>
          <w:szCs w:val="24"/>
        </w:rPr>
        <w:t>kritérium</w:t>
      </w:r>
      <w:proofErr w:type="gramEnd"/>
      <w:r>
        <w:rPr>
          <w:b/>
          <w:bCs/>
          <w:sz w:val="24"/>
          <w:szCs w:val="24"/>
        </w:rPr>
        <w:t>rendszert felállítani, amely mellett csak akkor kérjük a szerződések módosítását, amennyiben az szükséges a joghatás kiváltásához.</w:t>
      </w:r>
    </w:p>
    <w:p w:rsidR="004C0CA5" w:rsidRDefault="004C0CA5" w:rsidP="004C0CA5">
      <w:pPr>
        <w:rPr>
          <w:b/>
          <w:bCs/>
          <w:sz w:val="10"/>
          <w:szCs w:val="10"/>
        </w:rPr>
      </w:pPr>
    </w:p>
    <w:p w:rsidR="004C0CA5" w:rsidRDefault="00C97782" w:rsidP="004C0CA5">
      <w:pPr>
        <w:rPr>
          <w:sz w:val="24"/>
          <w:szCs w:val="24"/>
        </w:rPr>
      </w:pPr>
      <w:r>
        <w:rPr>
          <w:sz w:val="24"/>
          <w:szCs w:val="24"/>
        </w:rPr>
        <w:t xml:space="preserve">2021-től </w:t>
      </w:r>
      <w:r w:rsidR="004C0CA5">
        <w:rPr>
          <w:sz w:val="24"/>
          <w:szCs w:val="24"/>
        </w:rPr>
        <w:t>csak akkor kérünk módosítást, ha feltétlenül szükséges</w:t>
      </w:r>
      <w:r w:rsidR="00786A6A">
        <w:rPr>
          <w:sz w:val="24"/>
          <w:szCs w:val="24"/>
        </w:rPr>
        <w:t xml:space="preserve"> </w:t>
      </w:r>
      <w:r w:rsidR="00786A6A" w:rsidRPr="00786A6A">
        <w:rPr>
          <w:sz w:val="24"/>
          <w:szCs w:val="24"/>
          <w:highlight w:val="cyan"/>
        </w:rPr>
        <w:t xml:space="preserve">és a módosítási igények más megoldással (pl.: nyilatkozattal) nem </w:t>
      </w:r>
      <w:proofErr w:type="spellStart"/>
      <w:r w:rsidR="00786A6A" w:rsidRPr="00786A6A">
        <w:rPr>
          <w:sz w:val="24"/>
          <w:szCs w:val="24"/>
          <w:highlight w:val="cyan"/>
        </w:rPr>
        <w:t>kiválthatóak</w:t>
      </w:r>
      <w:proofErr w:type="spellEnd"/>
      <w:r w:rsidR="004C0CA5" w:rsidRPr="00786A6A">
        <w:rPr>
          <w:sz w:val="24"/>
          <w:szCs w:val="24"/>
          <w:highlight w:val="cyan"/>
        </w:rPr>
        <w:t>.</w:t>
      </w:r>
    </w:p>
    <w:p w:rsidR="004C0CA5" w:rsidRDefault="004C0CA5" w:rsidP="004C0CA5">
      <w:pPr>
        <w:rPr>
          <w:sz w:val="10"/>
          <w:szCs w:val="10"/>
        </w:rPr>
      </w:pPr>
    </w:p>
    <w:p w:rsidR="004C0CA5" w:rsidRDefault="004C0CA5" w:rsidP="004C0CA5">
      <w:pPr>
        <w:rPr>
          <w:sz w:val="24"/>
          <w:szCs w:val="24"/>
        </w:rPr>
      </w:pPr>
    </w:p>
    <w:p w:rsidR="004C0CA5" w:rsidRDefault="004C0CA5" w:rsidP="004C0CA5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Eladóhoz kapcsolódó terhek kezelése – nem kérjük többé, hogy szerződéskötésre teljesüljön!</w:t>
      </w:r>
    </w:p>
    <w:p w:rsidR="004C0CA5" w:rsidRDefault="004C0CA5" w:rsidP="004C0CA5">
      <w:pPr>
        <w:pStyle w:val="Listaszerbekezds"/>
        <w:rPr>
          <w:b/>
          <w:bCs/>
          <w:color w:val="C00000"/>
          <w:u w:val="single"/>
        </w:rPr>
      </w:pPr>
    </w:p>
    <w:p w:rsidR="004C0CA5" w:rsidRDefault="004C0CA5" w:rsidP="004C0CA5">
      <w:pPr>
        <w:pStyle w:val="Listaszerbekezds"/>
        <w:numPr>
          <w:ilvl w:val="0"/>
          <w:numId w:val="6"/>
        </w:numPr>
        <w:spacing w:after="160" w:line="252" w:lineRule="auto"/>
        <w:contextualSpacing/>
        <w:rPr>
          <w:sz w:val="20"/>
          <w:szCs w:val="20"/>
        </w:rPr>
      </w:pPr>
      <w:r>
        <w:rPr>
          <w:b/>
          <w:bCs/>
        </w:rPr>
        <w:t>Nem banki jelzáloghitel miatti végrehajtási jog</w:t>
      </w:r>
      <w:r>
        <w:t xml:space="preserve"> (nem kerülhet Banki kölcsönből kiváltásra) határozati törlése folyósítási feltétel. (széljegyes törlése szerződéskötési feltétel, de a széljegyek sorrendje nem számít az </w:t>
      </w:r>
      <w:proofErr w:type="spellStart"/>
      <w:r>
        <w:t>Inytv</w:t>
      </w:r>
      <w:proofErr w:type="spellEnd"/>
      <w:r>
        <w:t>. 7.§ (5) bekezdése alapján.)</w:t>
      </w:r>
    </w:p>
    <w:p w:rsidR="004C0CA5" w:rsidRDefault="004C0CA5" w:rsidP="004C0CA5">
      <w:pPr>
        <w:pStyle w:val="Listaszerbekezds"/>
        <w:numPr>
          <w:ilvl w:val="0"/>
          <w:numId w:val="6"/>
        </w:numPr>
        <w:spacing w:after="160" w:line="252" w:lineRule="auto"/>
        <w:contextualSpacing/>
      </w:pPr>
      <w:r>
        <w:rPr>
          <w:b/>
          <w:bCs/>
        </w:rPr>
        <w:t>Banki jelzáloghitel miatti végrehajtási jog</w:t>
      </w:r>
      <w:r>
        <w:t xml:space="preserve"> – amennyiben a végrehajtás alatti tartozás kiváltása a BB hitelcél része – </w:t>
      </w:r>
      <w:r>
        <w:rPr>
          <w:b/>
          <w:bCs/>
          <w:u w:val="single"/>
        </w:rPr>
        <w:t>folyósítás utáni feltétel.</w:t>
      </w:r>
    </w:p>
    <w:p w:rsidR="004C0CA5" w:rsidRDefault="004C0CA5" w:rsidP="004C0CA5">
      <w:pPr>
        <w:pStyle w:val="Listaszerbekezds"/>
        <w:numPr>
          <w:ilvl w:val="0"/>
          <w:numId w:val="6"/>
        </w:numPr>
        <w:spacing w:after="160" w:line="252" w:lineRule="auto"/>
        <w:contextualSpacing/>
      </w:pPr>
      <w:r>
        <w:rPr>
          <w:b/>
          <w:bCs/>
        </w:rPr>
        <w:t>Nem banki jelzáloghitel jelzálogjogának</w:t>
      </w:r>
      <w:r>
        <w:t xml:space="preserve"> (a tehermentesítés nem a BB hitelcél része) </w:t>
      </w:r>
      <w:r>
        <w:rPr>
          <w:b/>
          <w:bCs/>
        </w:rPr>
        <w:t xml:space="preserve">határozati törlése </w:t>
      </w:r>
      <w:r>
        <w:rPr>
          <w:b/>
          <w:bCs/>
          <w:u w:val="single"/>
        </w:rPr>
        <w:t>folyósítási feltétel</w:t>
      </w:r>
      <w:r>
        <w:t xml:space="preserve">. (széljegyes törlése szerződéskötési feltétel, de a széljegyek sorrendje nem számít az </w:t>
      </w:r>
      <w:proofErr w:type="spellStart"/>
      <w:r>
        <w:t>Inytv</w:t>
      </w:r>
      <w:proofErr w:type="spellEnd"/>
      <w:r>
        <w:t>. 7.§ (5) bekezdése alapján.)</w:t>
      </w:r>
    </w:p>
    <w:p w:rsidR="004C0CA5" w:rsidRDefault="004C0CA5" w:rsidP="004C0CA5">
      <w:pPr>
        <w:pStyle w:val="Listaszerbekezds"/>
        <w:numPr>
          <w:ilvl w:val="0"/>
          <w:numId w:val="6"/>
        </w:numPr>
        <w:spacing w:after="160" w:line="252" w:lineRule="auto"/>
        <w:contextualSpacing/>
      </w:pPr>
      <w:r>
        <w:rPr>
          <w:b/>
          <w:bCs/>
        </w:rPr>
        <w:t>Banki jelzáloghitel miatti jelzálogjog</w:t>
      </w:r>
      <w:r>
        <w:t xml:space="preserve"> – amennyiben a jelzálogjoggal érintett tartozás kiváltása a Budapest Banknál igényelt hitelcél része – </w:t>
      </w:r>
      <w:r>
        <w:rPr>
          <w:b/>
          <w:bCs/>
          <w:u w:val="single"/>
        </w:rPr>
        <w:t>folyósítás utáni feltétel.</w:t>
      </w:r>
    </w:p>
    <w:p w:rsidR="004C0CA5" w:rsidRDefault="004C0CA5" w:rsidP="004C0CA5">
      <w:pPr>
        <w:pStyle w:val="Listaszerbekezds"/>
        <w:numPr>
          <w:ilvl w:val="0"/>
          <w:numId w:val="6"/>
        </w:numPr>
        <w:spacing w:after="160" w:line="252" w:lineRule="auto"/>
        <w:contextualSpacing/>
      </w:pPr>
      <w:r>
        <w:rPr>
          <w:b/>
          <w:bCs/>
        </w:rPr>
        <w:t>Eladói kört érintő haszonélvezeti jog, özvegyi jog, tartási jog, életjáradéki jog</w:t>
      </w:r>
      <w:r>
        <w:t xml:space="preserve"> törlése - amennyiben a jog jogosultja, mint a jogáról ellenérték fejében, vagy ellenérték nélkül lemondó fél aláírta az adásvételi szerződést - folyósítás utáni feltétel.</w:t>
      </w:r>
    </w:p>
    <w:p w:rsidR="004C0CA5" w:rsidRDefault="004C0CA5" w:rsidP="004C0CA5">
      <w:pPr>
        <w:pStyle w:val="Listaszerbekezds"/>
        <w:spacing w:after="160" w:line="252" w:lineRule="auto"/>
        <w:ind w:left="360"/>
        <w:contextualSpacing/>
      </w:pPr>
    </w:p>
    <w:p w:rsidR="004C0CA5" w:rsidRDefault="004C0CA5" w:rsidP="004C0CA5">
      <w:pPr>
        <w:pStyle w:val="Listaszerbekezds"/>
        <w:spacing w:after="160" w:line="252" w:lineRule="auto"/>
        <w:ind w:left="360"/>
        <w:contextualSpacing/>
      </w:pPr>
    </w:p>
    <w:p w:rsidR="004C0CA5" w:rsidRDefault="004C0CA5" w:rsidP="004C0CA5">
      <w:pPr>
        <w:pStyle w:val="Listaszerbekezds"/>
        <w:ind w:left="360"/>
        <w:rPr>
          <w:b/>
          <w:bCs/>
          <w:sz w:val="24"/>
          <w:szCs w:val="24"/>
        </w:rPr>
      </w:pPr>
      <w:bookmarkStart w:id="0" w:name="_GoBack"/>
      <w:bookmarkEnd w:id="0"/>
    </w:p>
    <w:p w:rsidR="004C0CA5" w:rsidRDefault="004C0CA5" w:rsidP="004C0CA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Enyhítő hitel szerződések egyszerűsítése! – Nem tüntetjük fel a technikai számlaszámot.</w:t>
      </w:r>
    </w:p>
    <w:p w:rsidR="004C0CA5" w:rsidRDefault="004C0CA5" w:rsidP="004C0CA5"/>
    <w:p w:rsidR="004C0CA5" w:rsidRDefault="004C0CA5" w:rsidP="004C0CA5">
      <w:r>
        <w:t xml:space="preserve">Az új szerződés minták bevezetését követően </w:t>
      </w:r>
      <w:r>
        <w:rPr>
          <w:b/>
          <w:bCs/>
        </w:rPr>
        <w:t xml:space="preserve">nem lesz szükség </w:t>
      </w:r>
      <w:r w:rsidR="00786A6A" w:rsidRPr="00786A6A">
        <w:rPr>
          <w:b/>
          <w:bCs/>
          <w:highlight w:val="cyan"/>
        </w:rPr>
        <w:t>szerződés</w:t>
      </w:r>
      <w:r>
        <w:rPr>
          <w:b/>
          <w:bCs/>
        </w:rPr>
        <w:t>kötésre az ellenbank technikai számlaszám megadására,</w:t>
      </w:r>
      <w:r>
        <w:t xml:space="preserve"> így ezen ok miatt nem csúszik a szerződés elkészítése. </w:t>
      </w:r>
    </w:p>
    <w:p w:rsidR="004C0CA5" w:rsidRDefault="004C0CA5" w:rsidP="004C0CA5">
      <w:pPr>
        <w:rPr>
          <w:sz w:val="24"/>
          <w:szCs w:val="24"/>
        </w:rPr>
      </w:pPr>
      <w:r>
        <w:t>Folyósításra továbbra is elvárás az ügyfél által hozzá nem férhető utalási számlaszám megadása (lásd a kiváltó igazolás nélküli folyamatot).</w:t>
      </w:r>
    </w:p>
    <w:p w:rsidR="004C0CA5" w:rsidRDefault="004C0CA5" w:rsidP="004C0CA5"/>
    <w:p w:rsidR="004C0CA5" w:rsidRDefault="004C0CA5" w:rsidP="004C0CA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Támogatással érintett értékbecslés és kérelem átvétel! – Csak építési hitelek esetén kell alkalmazni a szigorított szabályt.</w:t>
      </w:r>
    </w:p>
    <w:p w:rsidR="004C0CA5" w:rsidRDefault="004C0CA5" w:rsidP="004C0CA5">
      <w:pPr>
        <w:pStyle w:val="Listaszerbekezds"/>
        <w:ind w:left="360"/>
      </w:pPr>
    </w:p>
    <w:p w:rsidR="004C0CA5" w:rsidRDefault="00C97782" w:rsidP="004C0CA5">
      <w:r>
        <w:t>2021. j</w:t>
      </w:r>
      <w:r w:rsidR="004C0CA5">
        <w:t>anuár 4-től</w:t>
      </w:r>
      <w:r>
        <w:t xml:space="preserve"> </w:t>
      </w:r>
      <w:r>
        <w:rPr>
          <w:b/>
          <w:bCs/>
          <w:highlight w:val="yellow"/>
        </w:rPr>
        <w:t>elegendő CSOK –</w:t>
      </w:r>
      <w:proofErr w:type="spellStart"/>
      <w:r>
        <w:rPr>
          <w:b/>
          <w:bCs/>
          <w:highlight w:val="yellow"/>
        </w:rPr>
        <w:t>kal</w:t>
      </w:r>
      <w:proofErr w:type="spellEnd"/>
      <w:r>
        <w:rPr>
          <w:b/>
          <w:bCs/>
          <w:highlight w:val="yellow"/>
        </w:rPr>
        <w:t xml:space="preserve"> és/vagy OTK-</w:t>
      </w:r>
      <w:proofErr w:type="spellStart"/>
      <w:r>
        <w:rPr>
          <w:b/>
          <w:bCs/>
          <w:highlight w:val="yellow"/>
        </w:rPr>
        <w:t>val</w:t>
      </w:r>
      <w:proofErr w:type="spellEnd"/>
      <w:r>
        <w:rPr>
          <w:b/>
          <w:bCs/>
          <w:highlight w:val="yellow"/>
        </w:rPr>
        <w:t xml:space="preserve">, ÁFA támogatással érintett építési hitelek esetén alkalmazni azt a szabályt, hogy </w:t>
      </w:r>
      <w:r>
        <w:rPr>
          <w:b/>
          <w:bCs/>
        </w:rPr>
        <w:t xml:space="preserve">az </w:t>
      </w:r>
      <w:r>
        <w:t>értékbecslési folyamat csak az ügylet átvétele napján vagy azt követően indítható el. Használt lakás vásárlása esetén megengedett az előzetes értékbecslés indítása is, ezáltal gyorsítható a folyamat.</w:t>
      </w:r>
      <w:r w:rsidDel="00C97782">
        <w:t xml:space="preserve"> </w:t>
      </w:r>
    </w:p>
    <w:p w:rsidR="004C0CA5" w:rsidRDefault="004C0CA5" w:rsidP="004C0CA5">
      <w:pPr>
        <w:jc w:val="both"/>
        <w:rPr>
          <w:sz w:val="10"/>
          <w:szCs w:val="10"/>
        </w:rPr>
      </w:pPr>
    </w:p>
    <w:p w:rsidR="004C0CA5" w:rsidRDefault="004C0CA5" w:rsidP="004C0CA5">
      <w:pPr>
        <w:jc w:val="both"/>
        <w:rPr>
          <w:b/>
          <w:bCs/>
        </w:rPr>
      </w:pPr>
    </w:p>
    <w:p w:rsidR="000E68A4" w:rsidRDefault="00FF4380"/>
    <w:sectPr w:rsidR="000E68A4" w:rsidSect="004C0C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80" w:rsidRDefault="00FF4380" w:rsidP="00B74463">
      <w:r>
        <w:separator/>
      </w:r>
    </w:p>
  </w:endnote>
  <w:endnote w:type="continuationSeparator" w:id="0">
    <w:p w:rsidR="00FF4380" w:rsidRDefault="00FF4380" w:rsidP="00B7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80" w:rsidRDefault="00FF4380" w:rsidP="00B74463">
      <w:r>
        <w:separator/>
      </w:r>
    </w:p>
  </w:footnote>
  <w:footnote w:type="continuationSeparator" w:id="0">
    <w:p w:rsidR="00FF4380" w:rsidRDefault="00FF4380" w:rsidP="00B7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9F3"/>
    <w:multiLevelType w:val="hybridMultilevel"/>
    <w:tmpl w:val="2F08A748"/>
    <w:lvl w:ilvl="0" w:tplc="A30EB91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29A9"/>
    <w:multiLevelType w:val="hybridMultilevel"/>
    <w:tmpl w:val="C24A472C"/>
    <w:lvl w:ilvl="0" w:tplc="066CA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66835"/>
    <w:multiLevelType w:val="hybridMultilevel"/>
    <w:tmpl w:val="477E44D2"/>
    <w:lvl w:ilvl="0" w:tplc="827425BA">
      <w:start w:val="1"/>
      <w:numFmt w:val="lowerLetter"/>
      <w:lvlText w:val="%1.)"/>
      <w:lvlJc w:val="left"/>
      <w:pPr>
        <w:ind w:left="360" w:hanging="360"/>
      </w:pPr>
      <w:rPr>
        <w:rFonts w:ascii="Calibri" w:eastAsia="Calibri" w:hAnsi="Calibri" w:cs="Calibri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B38DB"/>
    <w:multiLevelType w:val="hybridMultilevel"/>
    <w:tmpl w:val="F13087F2"/>
    <w:lvl w:ilvl="0" w:tplc="066CA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A05F9D"/>
    <w:multiLevelType w:val="hybridMultilevel"/>
    <w:tmpl w:val="FF4A6732"/>
    <w:lvl w:ilvl="0" w:tplc="AA00608A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92C3C"/>
    <w:multiLevelType w:val="hybridMultilevel"/>
    <w:tmpl w:val="6B34047A"/>
    <w:lvl w:ilvl="0" w:tplc="066CA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A5"/>
    <w:rsid w:val="004C0CA5"/>
    <w:rsid w:val="00786A6A"/>
    <w:rsid w:val="007A6514"/>
    <w:rsid w:val="00B74463"/>
    <w:rsid w:val="00C97782"/>
    <w:rsid w:val="00DB2D05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E39C-3541-4966-8E3A-44BDF14B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CA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C0CA5"/>
    <w:rPr>
      <w:color w:val="0563C1"/>
      <w:u w:val="single"/>
    </w:rPr>
  </w:style>
  <w:style w:type="character" w:customStyle="1" w:styleId="ListaszerbekezdsChar">
    <w:name w:val="Listaszerű bekezdés Char"/>
    <w:aliases w:val="List Paragraph à moi Char,Számozott lista 1 Char,Eszeri felsorolás Char,Welt L Char Char,Welt L Char1,Bullet List Char,FooterText Char,numbered Char,Paragraphe de liste1 Char,Bulletr List Paragraph Char,列出段落 Char,列出段落1 Char"/>
    <w:basedOn w:val="Bekezdsalapbettpusa"/>
    <w:link w:val="Listaszerbekezds"/>
    <w:uiPriority w:val="34"/>
    <w:locked/>
    <w:rsid w:val="004C0CA5"/>
    <w:rPr>
      <w:rFonts w:ascii="Calibri" w:hAnsi="Calibri" w:cs="Calibri"/>
    </w:rPr>
  </w:style>
  <w:style w:type="paragraph" w:styleId="Listaszerbekezds">
    <w:name w:val="List Paragraph"/>
    <w:aliases w:val="List Paragraph à moi,Számozott lista 1,Eszeri felsorolás,Welt L Char,Welt L,Bullet List,FooterText,numbered,Paragraphe de liste1,Bulletr List Paragraph,列出段落,列出段落1,Listeafsnit1,Parágrafo da Lista1,List Paragraph2,lista_2"/>
    <w:basedOn w:val="Norml"/>
    <w:link w:val="ListaszerbekezdsChar"/>
    <w:uiPriority w:val="34"/>
    <w:qFormat/>
    <w:rsid w:val="004C0CA5"/>
    <w:pPr>
      <w:ind w:left="720"/>
    </w:pPr>
  </w:style>
  <w:style w:type="character" w:styleId="Mrltotthiperhivatkozs">
    <w:name w:val="FollowedHyperlink"/>
    <w:basedOn w:val="Bekezdsalapbettpusa"/>
    <w:uiPriority w:val="99"/>
    <w:semiHidden/>
    <w:unhideWhenUsed/>
    <w:rsid w:val="004C0CA5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744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446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B744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446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10.jpg@01D6D557.E1BA6AD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9.jpg@01D6D557.E1BA6AD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Bank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Péter II (Budapest Bank)</dc:creator>
  <cp:keywords/>
  <dc:description/>
  <cp:lastModifiedBy>Hajnal Alex (Budapest Bank)</cp:lastModifiedBy>
  <cp:revision>2</cp:revision>
  <dcterms:created xsi:type="dcterms:W3CDTF">2021-01-07T11:01:00Z</dcterms:created>
  <dcterms:modified xsi:type="dcterms:W3CDTF">2021-01-07T11:01:00Z</dcterms:modified>
</cp:coreProperties>
</file>