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9" w:rsidRPr="00045ABE" w:rsidRDefault="00045ABE" w:rsidP="00EC44CA">
      <w:pPr>
        <w:spacing w:after="0"/>
        <w:jc w:val="center"/>
        <w:rPr>
          <w:b/>
          <w:sz w:val="28"/>
          <w:szCs w:val="28"/>
        </w:rPr>
      </w:pPr>
      <w:r w:rsidRPr="00045ABE">
        <w:rPr>
          <w:b/>
          <w:sz w:val="28"/>
          <w:szCs w:val="28"/>
        </w:rPr>
        <w:t xml:space="preserve">Tarifaváltási </w:t>
      </w:r>
      <w:r w:rsidR="00884407">
        <w:rPr>
          <w:b/>
          <w:sz w:val="28"/>
          <w:szCs w:val="28"/>
        </w:rPr>
        <w:t>általános felelősség</w:t>
      </w:r>
    </w:p>
    <w:p w:rsidR="006A4666" w:rsidRDefault="006A4666"/>
    <w:p w:rsidR="006D4755" w:rsidRDefault="006D4755" w:rsidP="006D4755">
      <w:pPr>
        <w:pStyle w:val="Listaszerbekezds"/>
        <w:numPr>
          <w:ilvl w:val="0"/>
          <w:numId w:val="1"/>
        </w:numPr>
      </w:pPr>
      <w:r>
        <w:t>A Generali új megjelenéséhez igazodó ajánlati kép és kapcsolódó nyomtatványok</w:t>
      </w:r>
      <w:r w:rsidR="00CA5E6B">
        <w:t xml:space="preserve"> bevezetése. A nyomtatványokon a tartalom változatlan, kizárólag azok megjelenése változott.</w:t>
      </w:r>
    </w:p>
    <w:p w:rsidR="006D4755" w:rsidRDefault="006D4755" w:rsidP="006D4755">
      <w:pPr>
        <w:pStyle w:val="Listaszerbekezds"/>
      </w:pPr>
    </w:p>
    <w:p w:rsidR="006D4755" w:rsidRDefault="006D4755" w:rsidP="006D4755">
      <w:pPr>
        <w:pStyle w:val="Listaszerbekezds"/>
        <w:numPr>
          <w:ilvl w:val="0"/>
          <w:numId w:val="1"/>
        </w:numPr>
      </w:pPr>
      <w:r>
        <w:t>Vonatkozó feltételből kikerült</w:t>
      </w:r>
      <w:r w:rsidR="00CA5E6B">
        <w:t xml:space="preserve"> az </w:t>
      </w:r>
      <w:proofErr w:type="spellStart"/>
      <w:r w:rsidR="00CA5E6B">
        <w:t>Ügyféltájékoztató</w:t>
      </w:r>
      <w:proofErr w:type="spellEnd"/>
      <w:r w:rsidR="00CA5E6B">
        <w:t xml:space="preserve">, tehát </w:t>
      </w:r>
      <w:r>
        <w:t xml:space="preserve">az ajánlathoz külön dokumentumként csatolandó a vonatkozó feltétel és a hatályos </w:t>
      </w:r>
      <w:proofErr w:type="spellStart"/>
      <w:r>
        <w:t>Ügyféltájékoztató</w:t>
      </w:r>
      <w:proofErr w:type="spellEnd"/>
      <w:r w:rsidR="00CA5E6B">
        <w:t>.</w:t>
      </w:r>
    </w:p>
    <w:p w:rsidR="006D4755" w:rsidRDefault="006D4755" w:rsidP="006D4755">
      <w:pPr>
        <w:pStyle w:val="Listaszerbekezds"/>
      </w:pPr>
    </w:p>
    <w:p w:rsidR="00884407" w:rsidRDefault="00884407" w:rsidP="002031A7">
      <w:pPr>
        <w:pStyle w:val="Listaszerbekezds"/>
        <w:numPr>
          <w:ilvl w:val="0"/>
          <w:numId w:val="1"/>
        </w:numPr>
        <w:jc w:val="both"/>
      </w:pPr>
      <w:r>
        <w:t xml:space="preserve">VIG engedélyes tevékenységeknél / kockázati köröknél díjtétel beviteli lehetőség  </w:t>
      </w:r>
    </w:p>
    <w:p w:rsidR="00884407" w:rsidRDefault="00884407" w:rsidP="00884407">
      <w:pPr>
        <w:pStyle w:val="Listaszerbekezds"/>
        <w:jc w:val="both"/>
      </w:pPr>
      <w:r>
        <w:t>Elektronik</w:t>
      </w:r>
      <w:r w:rsidR="002031A7">
        <w:t xml:space="preserve">us engedélyezés: g3d file-t </w:t>
      </w:r>
      <w:r>
        <w:t>VIG Termékfelelősi Csoport</w:t>
      </w:r>
      <w:r w:rsidR="002031A7">
        <w:t xml:space="preserve"> részére megküldeni</w:t>
      </w:r>
      <w:r>
        <w:t xml:space="preserve"> (</w:t>
      </w:r>
      <w:r w:rsidRPr="005757E9">
        <w:t>Csáki Gyula, Durda István, Komor Péter</w:t>
      </w:r>
      <w:r>
        <w:t>)</w:t>
      </w:r>
    </w:p>
    <w:p w:rsidR="00884407" w:rsidRDefault="00884407" w:rsidP="00884407">
      <w:pPr>
        <w:pStyle w:val="Listaszerbekezds"/>
        <w:jc w:val="both"/>
      </w:pPr>
      <w:r>
        <w:t>Kapcsolódó Genius üzenet:</w:t>
      </w:r>
    </w:p>
    <w:p w:rsidR="00884407" w:rsidRDefault="00884407" w:rsidP="00884407">
      <w:pPr>
        <w:pStyle w:val="Listaszerbekezds"/>
        <w:jc w:val="both"/>
        <w:rPr>
          <w:b/>
        </w:rPr>
      </w:pPr>
      <w:r w:rsidRPr="00B22153">
        <w:rPr>
          <w:b/>
        </w:rPr>
        <w:t>A díjtétel VIG</w:t>
      </w:r>
      <w:r w:rsidRPr="009875E2">
        <w:rPr>
          <w:b/>
        </w:rPr>
        <w:t xml:space="preserve"> </w:t>
      </w:r>
      <w:r w:rsidRPr="00B22153">
        <w:rPr>
          <w:b/>
        </w:rPr>
        <w:t>Termékfelelősi Csoport engedélyköteles.</w:t>
      </w:r>
    </w:p>
    <w:p w:rsidR="00884407" w:rsidRPr="00B22153" w:rsidRDefault="00884407" w:rsidP="00884407">
      <w:pPr>
        <w:pStyle w:val="Listaszerbekezds"/>
        <w:jc w:val="both"/>
        <w:rPr>
          <w:b/>
        </w:rPr>
      </w:pPr>
    </w:p>
    <w:p w:rsidR="00E67F1C" w:rsidRDefault="00E34755" w:rsidP="00D83544">
      <w:pPr>
        <w:pStyle w:val="Listaszerbekezds"/>
        <w:numPr>
          <w:ilvl w:val="0"/>
          <w:numId w:val="1"/>
        </w:numPr>
        <w:jc w:val="both"/>
      </w:pPr>
      <w:proofErr w:type="spellStart"/>
      <w:r>
        <w:t>Hulladékanyag</w:t>
      </w:r>
      <w:proofErr w:type="spellEnd"/>
      <w:r>
        <w:t xml:space="preserve"> kereskedelem tevékenységcsoportban egyes tevékenységek átnevezése és ú</w:t>
      </w:r>
      <w:r w:rsidR="00E67F1C">
        <w:t>j tevékenységek</w:t>
      </w:r>
      <w:r>
        <w:t xml:space="preserve"> létrehozása az alábbi módon:</w:t>
      </w:r>
    </w:p>
    <w:p w:rsidR="00E34755" w:rsidRPr="00E82474" w:rsidRDefault="00E34755" w:rsidP="00E34755">
      <w:pPr>
        <w:pStyle w:val="Listaszerbekezds"/>
        <w:jc w:val="both"/>
        <w:rPr>
          <w:b/>
          <w:color w:val="FF0000"/>
        </w:rPr>
      </w:pPr>
    </w:p>
    <w:tbl>
      <w:tblPr>
        <w:tblW w:w="987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641"/>
        <w:gridCol w:w="851"/>
        <w:gridCol w:w="992"/>
        <w:gridCol w:w="709"/>
        <w:gridCol w:w="992"/>
        <w:gridCol w:w="992"/>
      </w:tblGrid>
      <w:tr w:rsidR="00E34755" w:rsidRPr="00E24A4D" w:rsidTr="00E34755">
        <w:trPr>
          <w:trHeight w:val="256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52480</w:t>
            </w:r>
          </w:p>
        </w:tc>
        <w:tc>
          <w:tcPr>
            <w:tcW w:w="46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755" w:rsidRPr="00E24A4D" w:rsidRDefault="00FB2AC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EGYÉB </w:t>
            </w:r>
            <w:r w:rsidR="00E34755">
              <w:rPr>
                <w:rFonts w:ascii="Arial" w:hAnsi="Arial" w:cs="Arial"/>
                <w:sz w:val="20"/>
                <w:szCs w:val="20"/>
                <w:lang w:eastAsia="hu-HU"/>
              </w:rPr>
              <w:t>HULLADÉKANYAG KERESKEDELEM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VIG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VIG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VIG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VIG</w:t>
            </w:r>
          </w:p>
        </w:tc>
      </w:tr>
      <w:tr w:rsidR="00E34755" w:rsidRPr="00E24A4D" w:rsidTr="00E34755">
        <w:trPr>
          <w:trHeight w:val="285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52482</w:t>
            </w:r>
          </w:p>
        </w:tc>
        <w:tc>
          <w:tcPr>
            <w:tcW w:w="46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Papírhulladék kereskedelem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</w:tr>
      <w:tr w:rsidR="00E34755" w:rsidRPr="00E24A4D" w:rsidTr="00E34755">
        <w:trPr>
          <w:trHeight w:val="285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52483</w:t>
            </w:r>
          </w:p>
        </w:tc>
        <w:tc>
          <w:tcPr>
            <w:tcW w:w="46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Fém, és színesfémhulladék kereskedelem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</w:tr>
      <w:tr w:rsidR="00E34755" w:rsidRPr="00E24A4D" w:rsidTr="00E34755">
        <w:trPr>
          <w:trHeight w:val="285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52481</w:t>
            </w:r>
          </w:p>
        </w:tc>
        <w:tc>
          <w:tcPr>
            <w:tcW w:w="46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 veszélyes hulladék kereskedelem és szállítás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0,8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93675B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E34755" w:rsidRPr="00E24A4D" w:rsidTr="00E34755">
        <w:trPr>
          <w:trHeight w:val="285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52484</w:t>
            </w:r>
          </w:p>
        </w:tc>
        <w:tc>
          <w:tcPr>
            <w:tcW w:w="46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Veszélyes és nem veszélyes hulladék kereskedelem és szállítás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93675B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E34755" w:rsidRPr="00E24A4D" w:rsidTr="00E34755">
        <w:trPr>
          <w:trHeight w:val="285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52485</w:t>
            </w:r>
          </w:p>
        </w:tc>
        <w:tc>
          <w:tcPr>
            <w:tcW w:w="46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Veszélyes és nem veszélyes hulladék tárolása (hulladéklerakó)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VIG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VIG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VIG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4755" w:rsidRPr="00E24A4D" w:rsidRDefault="00E34755" w:rsidP="00321056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VIG</w:t>
            </w:r>
          </w:p>
        </w:tc>
      </w:tr>
    </w:tbl>
    <w:p w:rsidR="00E34755" w:rsidRDefault="00E34755" w:rsidP="00E34755">
      <w:pPr>
        <w:pStyle w:val="Listaszerbekezds"/>
        <w:jc w:val="both"/>
      </w:pPr>
    </w:p>
    <w:p w:rsidR="00884407" w:rsidRDefault="00884407" w:rsidP="00884407">
      <w:pPr>
        <w:pStyle w:val="Listaszerbekezds"/>
        <w:jc w:val="both"/>
      </w:pPr>
    </w:p>
    <w:p w:rsidR="00884407" w:rsidRDefault="00884407" w:rsidP="00884407">
      <w:pPr>
        <w:pStyle w:val="Listaszerbekezds"/>
        <w:numPr>
          <w:ilvl w:val="0"/>
          <w:numId w:val="1"/>
        </w:numPr>
        <w:jc w:val="both"/>
      </w:pPr>
      <w:r>
        <w:t>Új választható biztosítási összegek:</w:t>
      </w:r>
    </w:p>
    <w:tbl>
      <w:tblPr>
        <w:tblW w:w="475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562"/>
        <w:gridCol w:w="468"/>
        <w:gridCol w:w="524"/>
        <w:gridCol w:w="491"/>
        <w:gridCol w:w="563"/>
        <w:gridCol w:w="568"/>
        <w:gridCol w:w="406"/>
        <w:gridCol w:w="406"/>
        <w:gridCol w:w="406"/>
        <w:gridCol w:w="404"/>
      </w:tblGrid>
      <w:tr w:rsidR="00884407" w:rsidRPr="000C01E1" w:rsidTr="000B7407">
        <w:trPr>
          <w:trHeight w:val="392"/>
        </w:trPr>
        <w:tc>
          <w:tcPr>
            <w:tcW w:w="2223" w:type="pct"/>
            <w:shd w:val="pct35" w:color="000000" w:fill="FFFFFF"/>
            <w:vAlign w:val="center"/>
          </w:tcPr>
          <w:p w:rsidR="00884407" w:rsidRPr="009875E2" w:rsidRDefault="00884407" w:rsidP="000B7407">
            <w:pPr>
              <w:spacing w:after="0" w:line="220" w:lineRule="exact"/>
              <w:rPr>
                <w:rFonts w:ascii="HelveticaNeue" w:hAnsi="HelveticaNeue"/>
                <w:b/>
                <w:sz w:val="16"/>
                <w:szCs w:val="16"/>
              </w:rPr>
            </w:pPr>
            <w:r w:rsidRPr="009875E2">
              <w:rPr>
                <w:rFonts w:ascii="HelveticaNeue" w:hAnsi="HelveticaNeue"/>
                <w:b/>
                <w:sz w:val="16"/>
                <w:szCs w:val="16"/>
              </w:rPr>
              <w:t>Biztosítási összeg káreseményenként (</w:t>
            </w:r>
            <w:proofErr w:type="spellStart"/>
            <w:r w:rsidRPr="009875E2">
              <w:rPr>
                <w:rFonts w:ascii="HelveticaNeue" w:hAnsi="HelveticaNeue"/>
                <w:b/>
                <w:sz w:val="16"/>
                <w:szCs w:val="16"/>
              </w:rPr>
              <w:t>MFt</w:t>
            </w:r>
            <w:proofErr w:type="spellEnd"/>
            <w:r w:rsidRPr="009875E2">
              <w:rPr>
                <w:rFonts w:ascii="HelveticaNeue" w:hAnsi="HelveticaNeue"/>
                <w:b/>
                <w:sz w:val="16"/>
                <w:szCs w:val="16"/>
              </w:rPr>
              <w:t>)</w:t>
            </w:r>
          </w:p>
        </w:tc>
        <w:tc>
          <w:tcPr>
            <w:tcW w:w="325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 w:rsidRPr="009875E2">
              <w:rPr>
                <w:rFonts w:ascii="HelveticaNeue" w:hAnsi="HelveticaNeue"/>
                <w:sz w:val="16"/>
                <w:szCs w:val="16"/>
              </w:rPr>
              <w:t>10</w:t>
            </w:r>
          </w:p>
        </w:tc>
        <w:tc>
          <w:tcPr>
            <w:tcW w:w="271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 w:rsidRPr="009875E2">
              <w:rPr>
                <w:rFonts w:ascii="HelveticaNeue" w:hAnsi="HelveticaNeue"/>
                <w:sz w:val="16"/>
                <w:szCs w:val="16"/>
              </w:rPr>
              <w:t>10</w:t>
            </w:r>
          </w:p>
        </w:tc>
        <w:tc>
          <w:tcPr>
            <w:tcW w:w="303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 w:rsidRPr="009875E2">
              <w:rPr>
                <w:rFonts w:ascii="HelveticaNeue" w:hAnsi="HelveticaNeue"/>
                <w:sz w:val="16"/>
                <w:szCs w:val="16"/>
              </w:rPr>
              <w:t>15</w:t>
            </w:r>
          </w:p>
        </w:tc>
        <w:tc>
          <w:tcPr>
            <w:tcW w:w="284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 w:rsidRPr="009875E2">
              <w:rPr>
                <w:rFonts w:ascii="HelveticaNeue" w:hAnsi="HelveticaNeue"/>
                <w:sz w:val="16"/>
                <w:szCs w:val="16"/>
              </w:rPr>
              <w:t>20</w:t>
            </w:r>
          </w:p>
        </w:tc>
        <w:tc>
          <w:tcPr>
            <w:tcW w:w="326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25</w:t>
            </w:r>
          </w:p>
        </w:tc>
        <w:tc>
          <w:tcPr>
            <w:tcW w:w="329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 w:rsidRPr="009875E2">
              <w:rPr>
                <w:rFonts w:ascii="HelveticaNeue" w:hAnsi="HelveticaNeue"/>
                <w:sz w:val="16"/>
                <w:szCs w:val="16"/>
              </w:rPr>
              <w:t>30</w:t>
            </w:r>
          </w:p>
        </w:tc>
        <w:tc>
          <w:tcPr>
            <w:tcW w:w="235" w:type="pct"/>
          </w:tcPr>
          <w:p w:rsidR="00884407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40</w:t>
            </w:r>
          </w:p>
        </w:tc>
        <w:tc>
          <w:tcPr>
            <w:tcW w:w="235" w:type="pct"/>
          </w:tcPr>
          <w:p w:rsidR="00884407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40</w:t>
            </w:r>
          </w:p>
        </w:tc>
        <w:tc>
          <w:tcPr>
            <w:tcW w:w="235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6</w:t>
            </w:r>
            <w:r w:rsidRPr="009875E2">
              <w:rPr>
                <w:rFonts w:ascii="HelveticaNeue" w:hAnsi="HelveticaNeue"/>
                <w:sz w:val="16"/>
                <w:szCs w:val="16"/>
              </w:rPr>
              <w:t>0</w:t>
            </w:r>
          </w:p>
        </w:tc>
        <w:tc>
          <w:tcPr>
            <w:tcW w:w="234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6</w:t>
            </w:r>
            <w:r w:rsidRPr="009875E2">
              <w:rPr>
                <w:rFonts w:ascii="HelveticaNeue" w:hAnsi="HelveticaNeue"/>
                <w:sz w:val="16"/>
                <w:szCs w:val="16"/>
              </w:rPr>
              <w:t>0</w:t>
            </w:r>
          </w:p>
        </w:tc>
      </w:tr>
      <w:tr w:rsidR="00884407" w:rsidRPr="000C01E1" w:rsidTr="000B7407">
        <w:trPr>
          <w:trHeight w:val="81"/>
        </w:trPr>
        <w:tc>
          <w:tcPr>
            <w:tcW w:w="2223" w:type="pct"/>
            <w:shd w:val="pct35" w:color="000000" w:fill="FFFFFF"/>
            <w:vAlign w:val="center"/>
          </w:tcPr>
          <w:p w:rsidR="00884407" w:rsidRPr="009875E2" w:rsidRDefault="00884407" w:rsidP="000B7407">
            <w:pPr>
              <w:spacing w:after="0" w:line="220" w:lineRule="exact"/>
              <w:rPr>
                <w:rFonts w:ascii="HelveticaNeue" w:hAnsi="HelveticaNeue"/>
                <w:b/>
                <w:sz w:val="16"/>
                <w:szCs w:val="16"/>
              </w:rPr>
            </w:pPr>
            <w:r w:rsidRPr="009875E2">
              <w:rPr>
                <w:rFonts w:ascii="HelveticaNeue" w:hAnsi="HelveticaNeue"/>
                <w:b/>
                <w:sz w:val="16"/>
                <w:szCs w:val="16"/>
              </w:rPr>
              <w:t>Biztosítási összeg évente (</w:t>
            </w:r>
            <w:proofErr w:type="spellStart"/>
            <w:r w:rsidRPr="009875E2">
              <w:rPr>
                <w:rFonts w:ascii="HelveticaNeue" w:hAnsi="HelveticaNeue"/>
                <w:b/>
                <w:sz w:val="16"/>
                <w:szCs w:val="16"/>
              </w:rPr>
              <w:t>MFt</w:t>
            </w:r>
            <w:proofErr w:type="spellEnd"/>
            <w:r w:rsidRPr="009875E2">
              <w:rPr>
                <w:rFonts w:ascii="HelveticaNeue" w:hAnsi="HelveticaNeue"/>
                <w:b/>
                <w:sz w:val="16"/>
                <w:szCs w:val="16"/>
              </w:rPr>
              <w:t>)</w:t>
            </w:r>
          </w:p>
        </w:tc>
        <w:tc>
          <w:tcPr>
            <w:tcW w:w="325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1</w:t>
            </w:r>
            <w:r w:rsidRPr="009875E2">
              <w:rPr>
                <w:rFonts w:ascii="HelveticaNeue" w:hAnsi="HelveticaNeue"/>
                <w:sz w:val="16"/>
                <w:szCs w:val="16"/>
              </w:rPr>
              <w:t>0</w:t>
            </w:r>
          </w:p>
        </w:tc>
        <w:tc>
          <w:tcPr>
            <w:tcW w:w="271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2</w:t>
            </w:r>
            <w:r w:rsidRPr="009875E2">
              <w:rPr>
                <w:rFonts w:ascii="HelveticaNeue" w:hAnsi="HelveticaNeue"/>
                <w:sz w:val="16"/>
                <w:szCs w:val="16"/>
              </w:rPr>
              <w:t>0</w:t>
            </w:r>
          </w:p>
        </w:tc>
        <w:tc>
          <w:tcPr>
            <w:tcW w:w="303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15</w:t>
            </w:r>
          </w:p>
        </w:tc>
        <w:tc>
          <w:tcPr>
            <w:tcW w:w="284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2</w:t>
            </w:r>
            <w:r w:rsidRPr="009875E2">
              <w:rPr>
                <w:rFonts w:ascii="HelveticaNeue" w:hAnsi="HelveticaNeue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25</w:t>
            </w:r>
          </w:p>
        </w:tc>
        <w:tc>
          <w:tcPr>
            <w:tcW w:w="329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3</w:t>
            </w:r>
            <w:r w:rsidRPr="009875E2">
              <w:rPr>
                <w:rFonts w:ascii="HelveticaNeue" w:hAnsi="HelveticaNeue"/>
                <w:sz w:val="16"/>
                <w:szCs w:val="16"/>
              </w:rPr>
              <w:t>0</w:t>
            </w:r>
          </w:p>
        </w:tc>
        <w:tc>
          <w:tcPr>
            <w:tcW w:w="235" w:type="pct"/>
          </w:tcPr>
          <w:p w:rsidR="00884407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40</w:t>
            </w:r>
          </w:p>
        </w:tc>
        <w:tc>
          <w:tcPr>
            <w:tcW w:w="235" w:type="pct"/>
          </w:tcPr>
          <w:p w:rsidR="00884407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80</w:t>
            </w:r>
          </w:p>
        </w:tc>
        <w:tc>
          <w:tcPr>
            <w:tcW w:w="235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6</w:t>
            </w:r>
            <w:r w:rsidRPr="009875E2">
              <w:rPr>
                <w:rFonts w:ascii="HelveticaNeue" w:hAnsi="HelveticaNeue"/>
                <w:sz w:val="16"/>
                <w:szCs w:val="16"/>
              </w:rPr>
              <w:t>0</w:t>
            </w:r>
          </w:p>
        </w:tc>
        <w:tc>
          <w:tcPr>
            <w:tcW w:w="234" w:type="pct"/>
          </w:tcPr>
          <w:p w:rsidR="00884407" w:rsidRPr="009875E2" w:rsidRDefault="00884407" w:rsidP="000B7407">
            <w:pPr>
              <w:spacing w:before="120"/>
              <w:ind w:left="567" w:hanging="567"/>
              <w:jc w:val="center"/>
              <w:rPr>
                <w:rFonts w:ascii="HelveticaNeue" w:hAnsi="HelveticaNeue"/>
                <w:sz w:val="16"/>
                <w:szCs w:val="16"/>
              </w:rPr>
            </w:pPr>
            <w:r>
              <w:rPr>
                <w:rFonts w:ascii="HelveticaNeue" w:hAnsi="HelveticaNeue"/>
                <w:sz w:val="16"/>
                <w:szCs w:val="16"/>
              </w:rPr>
              <w:t>12</w:t>
            </w:r>
            <w:r w:rsidRPr="009875E2">
              <w:rPr>
                <w:rFonts w:ascii="HelveticaNeue" w:hAnsi="HelveticaNeue"/>
                <w:sz w:val="16"/>
                <w:szCs w:val="16"/>
              </w:rPr>
              <w:t>0</w:t>
            </w:r>
          </w:p>
        </w:tc>
      </w:tr>
    </w:tbl>
    <w:p w:rsidR="00884407" w:rsidRDefault="00884407" w:rsidP="00884407">
      <w:pPr>
        <w:pStyle w:val="Listaszerbekezds"/>
        <w:jc w:val="both"/>
      </w:pPr>
    </w:p>
    <w:p w:rsidR="00884407" w:rsidRDefault="00884407" w:rsidP="00884407">
      <w:pPr>
        <w:pStyle w:val="Listaszerbekezds"/>
        <w:jc w:val="both"/>
      </w:pPr>
    </w:p>
    <w:p w:rsidR="00884407" w:rsidRDefault="00884407" w:rsidP="00E67F1C">
      <w:pPr>
        <w:pStyle w:val="Listaszerbekezds"/>
        <w:jc w:val="both"/>
      </w:pPr>
    </w:p>
    <w:p w:rsidR="00884407" w:rsidRDefault="00884407" w:rsidP="00E67F1C">
      <w:pPr>
        <w:pStyle w:val="Listaszerbekezds"/>
        <w:jc w:val="both"/>
      </w:pPr>
    </w:p>
    <w:p w:rsidR="00884407" w:rsidRDefault="00884407" w:rsidP="00E67F1C">
      <w:pPr>
        <w:pStyle w:val="Listaszerbekezds"/>
        <w:jc w:val="both"/>
      </w:pPr>
    </w:p>
    <w:p w:rsidR="00884407" w:rsidRDefault="00884407" w:rsidP="00E67F1C">
      <w:pPr>
        <w:pStyle w:val="Listaszerbekezds"/>
        <w:jc w:val="both"/>
      </w:pPr>
    </w:p>
    <w:p w:rsidR="00CA5E6B" w:rsidRDefault="00CA5E6B" w:rsidP="00E67F1C">
      <w:pPr>
        <w:pStyle w:val="Listaszerbekezds"/>
        <w:jc w:val="both"/>
      </w:pPr>
    </w:p>
    <w:p w:rsidR="00E67F1C" w:rsidRDefault="00E67F1C" w:rsidP="00D83544">
      <w:pPr>
        <w:pStyle w:val="Listaszerbekezds"/>
        <w:numPr>
          <w:ilvl w:val="0"/>
          <w:numId w:val="1"/>
        </w:numPr>
        <w:jc w:val="both"/>
      </w:pPr>
      <w:r>
        <w:lastRenderedPageBreak/>
        <w:t>Alábbi tevékenységeknél díjtétel változása</w:t>
      </w:r>
    </w:p>
    <w:tbl>
      <w:tblPr>
        <w:tblW w:w="9307" w:type="dxa"/>
        <w:jc w:val="center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74"/>
        <w:gridCol w:w="851"/>
        <w:gridCol w:w="992"/>
        <w:gridCol w:w="709"/>
        <w:gridCol w:w="992"/>
        <w:gridCol w:w="992"/>
      </w:tblGrid>
      <w:tr w:rsidR="00E24A4D" w:rsidRPr="002031A7" w:rsidTr="002031A7">
        <w:trPr>
          <w:trHeight w:val="256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A4D" w:rsidRPr="002031A7" w:rsidRDefault="00E24A4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25200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A4D" w:rsidRPr="002031A7" w:rsidRDefault="00E24A4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MŰANYAG-TERMÉKEK GYÁRTÁSA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4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4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4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4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2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4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0,35</w:t>
            </w:r>
          </w:p>
        </w:tc>
      </w:tr>
      <w:tr w:rsidR="00A81BBD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24140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 xml:space="preserve">Műanyag </w:t>
            </w:r>
            <w:proofErr w:type="gramStart"/>
            <w:r w:rsidRPr="002031A7">
              <w:rPr>
                <w:rFonts w:cs="Arial"/>
                <w:sz w:val="20"/>
                <w:szCs w:val="20"/>
                <w:lang w:eastAsia="hu-HU"/>
              </w:rPr>
              <w:t>alapanyag gyártás</w:t>
            </w:r>
            <w:proofErr w:type="gramEnd"/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2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0,35</w:t>
            </w:r>
          </w:p>
        </w:tc>
      </w:tr>
      <w:tr w:rsidR="00A81BBD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25230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Műanyag alapú hő-</w:t>
            </w:r>
            <w:proofErr w:type="gramStart"/>
            <w:r w:rsidRPr="002031A7">
              <w:rPr>
                <w:rFonts w:cs="Arial"/>
                <w:sz w:val="20"/>
                <w:szCs w:val="20"/>
                <w:lang w:eastAsia="hu-HU"/>
              </w:rPr>
              <w:t>,……….</w:t>
            </w:r>
            <w:proofErr w:type="gramEnd"/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2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0,35</w:t>
            </w:r>
          </w:p>
        </w:tc>
      </w:tr>
      <w:tr w:rsidR="00A81BBD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25210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Műanyag bevonatok</w:t>
            </w:r>
            <w:proofErr w:type="gramStart"/>
            <w:r w:rsidRPr="002031A7">
              <w:rPr>
                <w:rFonts w:cs="Arial"/>
                <w:sz w:val="20"/>
                <w:szCs w:val="20"/>
                <w:lang w:eastAsia="hu-HU"/>
              </w:rPr>
              <w:t>….</w:t>
            </w:r>
            <w:proofErr w:type="gramEnd"/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2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0,35</w:t>
            </w:r>
          </w:p>
        </w:tc>
      </w:tr>
      <w:tr w:rsidR="00A81BBD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26400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TŰZÁLLÓ KERÁMIATERMÉKEK GYÁRTÁ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0,8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0,3</w:t>
            </w:r>
          </w:p>
        </w:tc>
      </w:tr>
      <w:tr w:rsidR="00A81BBD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FÉMFELDOLGOZÁSI TERMÉKEK GYÁRT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0,5</w:t>
            </w:r>
          </w:p>
        </w:tc>
      </w:tr>
      <w:tr w:rsidR="00A81BBD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52200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81BBD" w:rsidRPr="002031A7" w:rsidRDefault="00A81BBD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ÉLELMISZER KISKERESKEDELEM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2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1BBD" w:rsidRPr="002031A7" w:rsidRDefault="00A81BBD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0,35</w:t>
            </w:r>
          </w:p>
        </w:tc>
      </w:tr>
      <w:tr w:rsidR="00C34396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396" w:rsidRPr="002031A7" w:rsidRDefault="00C34396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52446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396" w:rsidRPr="002031A7" w:rsidRDefault="00C34396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SPORTSZER, JÁTÉK KERESKEDELEM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2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0,35</w:t>
            </w:r>
          </w:p>
        </w:tc>
      </w:tr>
      <w:tr w:rsidR="00C34396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50100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GÉPJÁRMŰKERESKEDELEM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2,</w:t>
            </w:r>
            <w:proofErr w:type="spellStart"/>
            <w:r w:rsidRPr="002031A7">
              <w:rPr>
                <w:rFonts w:cs="Arial"/>
                <w:sz w:val="20"/>
                <w:szCs w:val="20"/>
                <w:lang w:eastAsia="hu-HU"/>
              </w:rPr>
              <w:t>2</w:t>
            </w:r>
            <w:proofErr w:type="spellEnd"/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0,35</w:t>
            </w:r>
          </w:p>
        </w:tc>
      </w:tr>
      <w:tr w:rsidR="00C34396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50420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BENZINKÚT (GÉPJÁRMŰ-ÜZEMANYAG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1,2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1,6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1,6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 w:rsidP="004A3FBB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0,4</w:t>
            </w:r>
          </w:p>
        </w:tc>
      </w:tr>
      <w:tr w:rsidR="00C34396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396" w:rsidRPr="002031A7" w:rsidRDefault="00C34396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01110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396" w:rsidRPr="002031A7" w:rsidRDefault="00C34396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 xml:space="preserve">KERT- </w:t>
            </w:r>
            <w:proofErr w:type="gramStart"/>
            <w:r w:rsidRPr="002031A7">
              <w:rPr>
                <w:rFonts w:cs="Arial"/>
                <w:sz w:val="20"/>
                <w:szCs w:val="20"/>
                <w:lang w:eastAsia="hu-HU"/>
              </w:rPr>
              <w:t>ÉS</w:t>
            </w:r>
            <w:proofErr w:type="gramEnd"/>
            <w:r w:rsidRPr="002031A7">
              <w:rPr>
                <w:rFonts w:cs="Arial"/>
                <w:sz w:val="20"/>
                <w:szCs w:val="20"/>
                <w:lang w:eastAsia="hu-HU"/>
              </w:rPr>
              <w:t xml:space="preserve"> PARKÉPÍTÉS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0,5</w:t>
            </w:r>
          </w:p>
        </w:tc>
      </w:tr>
      <w:tr w:rsidR="00C34396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396" w:rsidRPr="002031A7" w:rsidRDefault="00C34396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62001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396" w:rsidRPr="002031A7" w:rsidRDefault="00C34396">
            <w:pPr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SZEMÉLYSZÁLLÍTÁS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4396" w:rsidRPr="002031A7" w:rsidRDefault="00C34396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0,5</w:t>
            </w:r>
          </w:p>
        </w:tc>
      </w:tr>
      <w:tr w:rsidR="0048425B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48425B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52305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48425B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CIPŐ KERESKEDELEM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0,6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0,2</w:t>
            </w:r>
          </w:p>
        </w:tc>
      </w:tr>
      <w:tr w:rsidR="0048425B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48425B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73100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48425B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MŰSZAKI, TERMÉSZETTUDOMÁNYI KU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EC44CA">
            <w:pPr>
              <w:jc w:val="center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25B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0,2</w:t>
            </w:r>
          </w:p>
        </w:tc>
      </w:tr>
      <w:tr w:rsidR="00EC44CA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73000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 xml:space="preserve">KUTATÁS </w:t>
            </w:r>
            <w:proofErr w:type="gramStart"/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ÉS</w:t>
            </w:r>
            <w:proofErr w:type="gramEnd"/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 xml:space="preserve"> KÍSÉRLETI FEJLESZTÉ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center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0,2</w:t>
            </w:r>
          </w:p>
        </w:tc>
      </w:tr>
      <w:tr w:rsidR="00EC44CA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52128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LÁTSZERÉSZ, OPTIKAI KERESKEDÉS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0,6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0,2</w:t>
            </w:r>
          </w:p>
        </w:tc>
      </w:tr>
      <w:tr w:rsidR="00EC44CA" w:rsidRPr="002031A7" w:rsidTr="002031A7">
        <w:trPr>
          <w:trHeight w:val="285"/>
          <w:jc w:val="center"/>
        </w:trPr>
        <w:tc>
          <w:tcPr>
            <w:tcW w:w="69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25110</w:t>
            </w:r>
          </w:p>
        </w:tc>
        <w:tc>
          <w:tcPr>
            <w:tcW w:w="4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>
            <w:pPr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color w:val="000000"/>
                <w:sz w:val="20"/>
                <w:szCs w:val="20"/>
                <w:lang w:eastAsia="hu-HU"/>
              </w:rPr>
              <w:t>GYÓGYÁSZATI SEGÉDESZKÖZÖK GYÁR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0,6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NB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4CA" w:rsidRPr="002031A7" w:rsidRDefault="00EC44CA" w:rsidP="0039581C">
            <w:pPr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2031A7">
              <w:rPr>
                <w:rFonts w:cs="Arial"/>
                <w:sz w:val="20"/>
                <w:szCs w:val="20"/>
                <w:lang w:eastAsia="hu-HU"/>
              </w:rPr>
              <w:t>0,2</w:t>
            </w:r>
          </w:p>
        </w:tc>
      </w:tr>
    </w:tbl>
    <w:p w:rsidR="0048425B" w:rsidRPr="002031A7" w:rsidRDefault="0048425B" w:rsidP="009875E2">
      <w:pPr>
        <w:pStyle w:val="Listaszerbekezds"/>
        <w:jc w:val="both"/>
      </w:pPr>
    </w:p>
    <w:p w:rsidR="00045ABE" w:rsidRDefault="00B22153" w:rsidP="00D83544">
      <w:pPr>
        <w:pStyle w:val="Listaszerbekezds"/>
        <w:numPr>
          <w:ilvl w:val="0"/>
          <w:numId w:val="1"/>
        </w:numPr>
        <w:jc w:val="both"/>
      </w:pPr>
      <w:bookmarkStart w:id="0" w:name="_GoBack"/>
      <w:bookmarkEnd w:id="0"/>
      <w:r>
        <w:t>KF390</w:t>
      </w:r>
      <w:r w:rsidR="00D83544">
        <w:t xml:space="preserve"> </w:t>
      </w:r>
      <w:r w:rsidR="007721D9">
        <w:t xml:space="preserve">(tisztán vagyoni károk biztosítás) </w:t>
      </w:r>
      <w:r w:rsidR="00D83544">
        <w:t xml:space="preserve">választható </w:t>
      </w:r>
      <w:r>
        <w:t>az alábbi</w:t>
      </w:r>
      <w:r w:rsidR="00D83544">
        <w:t xml:space="preserve"> tevékenységekhez</w:t>
      </w:r>
      <w:r>
        <w:t xml:space="preserve">, az alábbi </w:t>
      </w:r>
      <w:r w:rsidR="00807EFC">
        <w:t>feltétel mellett:</w:t>
      </w:r>
    </w:p>
    <w:p w:rsidR="00B22153" w:rsidRDefault="00807EFC" w:rsidP="00807EFC">
      <w:pPr>
        <w:pStyle w:val="Listaszerbekezds"/>
        <w:numPr>
          <w:ilvl w:val="1"/>
          <w:numId w:val="1"/>
        </w:numPr>
        <w:jc w:val="both"/>
      </w:pPr>
      <w:r>
        <w:t>kizárólag 50/50-es limitig</w:t>
      </w:r>
    </w:p>
    <w:p w:rsidR="00807EFC" w:rsidRDefault="00807EFC" w:rsidP="00807EFC">
      <w:pPr>
        <w:pStyle w:val="Listaszerbekezds"/>
        <w:numPr>
          <w:ilvl w:val="1"/>
          <w:numId w:val="1"/>
        </w:numPr>
        <w:jc w:val="both"/>
      </w:pPr>
      <w:r>
        <w:t>limit: a választott BÖ 100%-</w:t>
      </w:r>
      <w:proofErr w:type="gramStart"/>
      <w:r>
        <w:t>a</w:t>
      </w:r>
      <w:proofErr w:type="gramEnd"/>
    </w:p>
    <w:p w:rsidR="00807EFC" w:rsidRDefault="00807EFC" w:rsidP="00807EFC">
      <w:pPr>
        <w:pStyle w:val="Listaszerbekezds"/>
        <w:numPr>
          <w:ilvl w:val="1"/>
          <w:numId w:val="1"/>
        </w:numPr>
        <w:jc w:val="both"/>
      </w:pPr>
      <w:r>
        <w:t>önrész: 10% min. 100.000 Ft</w:t>
      </w:r>
    </w:p>
    <w:p w:rsidR="00807EFC" w:rsidRDefault="00807EFC" w:rsidP="00807EFC">
      <w:pPr>
        <w:pStyle w:val="Listaszerbekezds"/>
        <w:numPr>
          <w:ilvl w:val="1"/>
          <w:numId w:val="1"/>
        </w:numPr>
        <w:jc w:val="both"/>
      </w:pPr>
      <w:r>
        <w:t>szolgáltatói felelősség megkötése kötelező</w:t>
      </w:r>
    </w:p>
    <w:p w:rsidR="00807EFC" w:rsidRDefault="00807EFC" w:rsidP="00807EFC">
      <w:pPr>
        <w:pStyle w:val="Listaszerbekezds"/>
        <w:numPr>
          <w:ilvl w:val="1"/>
          <w:numId w:val="1"/>
        </w:numPr>
        <w:jc w:val="both"/>
      </w:pPr>
      <w:r>
        <w:t>pótdíj: tev</w:t>
      </w:r>
      <w:r w:rsidR="002031A7">
        <w:t xml:space="preserve">ékenységi és </w:t>
      </w:r>
      <w:r>
        <w:t>szolg</w:t>
      </w:r>
      <w:r w:rsidR="002031A7">
        <w:t>áltatói</w:t>
      </w:r>
      <w:r>
        <w:t xml:space="preserve"> felelősség díjának 200%-</w:t>
      </w:r>
      <w:proofErr w:type="gramStart"/>
      <w:r>
        <w:t>a</w:t>
      </w:r>
      <w:proofErr w:type="gramEnd"/>
    </w:p>
    <w:p w:rsidR="00807EFC" w:rsidRDefault="00807EFC" w:rsidP="00807EFC">
      <w:pPr>
        <w:pStyle w:val="Listaszerbekezds"/>
        <w:numPr>
          <w:ilvl w:val="1"/>
          <w:numId w:val="1"/>
        </w:numPr>
        <w:jc w:val="both"/>
      </w:pPr>
      <w:r>
        <w:t>minimumdíj: 100.000 Ft</w:t>
      </w:r>
    </w:p>
    <w:p w:rsidR="00807EFC" w:rsidRDefault="00807EFC" w:rsidP="00E67F1C">
      <w:pPr>
        <w:pStyle w:val="Listaszerbekezds"/>
        <w:numPr>
          <w:ilvl w:val="1"/>
          <w:numId w:val="1"/>
        </w:numPr>
        <w:jc w:val="both"/>
      </w:pPr>
      <w:r>
        <w:t>kizárólag ezekre a tevékenységek</w:t>
      </w:r>
      <w:r w:rsidR="002031A7">
        <w:t>re</w:t>
      </w:r>
      <w:r>
        <w:t xml:space="preserve"> lehe</w:t>
      </w:r>
      <w:r w:rsidR="002031A7">
        <w:t>t</w:t>
      </w:r>
      <w:r>
        <w:t xml:space="preserve"> kötni KF390-et</w:t>
      </w:r>
    </w:p>
    <w:tbl>
      <w:tblPr>
        <w:tblW w:w="908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7085"/>
      </w:tblGrid>
      <w:tr w:rsidR="00807EFC" w:rsidRPr="005F69EF" w:rsidTr="00807EFC">
        <w:trPr>
          <w:trHeight w:val="24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EFC" w:rsidRPr="005F69EF" w:rsidRDefault="00807EFC" w:rsidP="00884407">
            <w:pPr>
              <w:spacing w:after="0" w:line="240" w:lineRule="auto"/>
              <w:jc w:val="right"/>
              <w:rPr>
                <w:rFonts w:ascii="HelveticaNeue" w:hAnsi="HelveticaNeue" w:cs="HelveticaNeue"/>
                <w:b/>
                <w:bCs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b/>
                <w:bCs/>
                <w:sz w:val="18"/>
                <w:szCs w:val="18"/>
              </w:rPr>
              <w:t>73000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EFC" w:rsidRPr="005F69EF" w:rsidRDefault="00807EFC" w:rsidP="00884407">
            <w:pPr>
              <w:spacing w:after="0" w:line="240" w:lineRule="auto"/>
              <w:rPr>
                <w:rFonts w:ascii="HelveticaNeue" w:hAnsi="HelveticaNeue" w:cs="HelveticaNeue"/>
                <w:b/>
                <w:bCs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b/>
                <w:bCs/>
                <w:sz w:val="18"/>
                <w:szCs w:val="18"/>
              </w:rPr>
              <w:t>kutatás és kísérleti fejlesztés</w:t>
            </w:r>
          </w:p>
        </w:tc>
      </w:tr>
      <w:tr w:rsidR="00807EFC" w:rsidRPr="005F69EF" w:rsidTr="00807EFC">
        <w:trPr>
          <w:trHeight w:val="24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EFC" w:rsidRPr="005F69EF" w:rsidRDefault="00807EFC" w:rsidP="00884407">
            <w:pPr>
              <w:spacing w:after="0" w:line="240" w:lineRule="auto"/>
              <w:jc w:val="right"/>
              <w:rPr>
                <w:rFonts w:ascii="HelveticaNeue" w:hAnsi="HelveticaNeue" w:cs="HelveticaNeue"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sz w:val="18"/>
                <w:szCs w:val="18"/>
              </w:rPr>
              <w:t>73200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EFC" w:rsidRPr="005F69EF" w:rsidRDefault="00807EFC" w:rsidP="00884407">
            <w:pPr>
              <w:spacing w:after="0" w:line="240" w:lineRule="auto"/>
              <w:rPr>
                <w:rFonts w:ascii="HelveticaNeue" w:hAnsi="HelveticaNeue" w:cs="HelveticaNeue"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sz w:val="18"/>
                <w:szCs w:val="18"/>
              </w:rPr>
              <w:t>humán és társadalomtudományi kutatás és kísérleti fejlesztés</w:t>
            </w:r>
          </w:p>
        </w:tc>
      </w:tr>
      <w:tr w:rsidR="00807EFC" w:rsidRPr="005F69EF" w:rsidTr="00807EFC">
        <w:trPr>
          <w:trHeight w:val="24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EFC" w:rsidRPr="005F69EF" w:rsidRDefault="00807EFC" w:rsidP="00884407">
            <w:pPr>
              <w:spacing w:after="0" w:line="240" w:lineRule="auto"/>
              <w:jc w:val="right"/>
              <w:rPr>
                <w:rFonts w:ascii="HelveticaNeue" w:hAnsi="HelveticaNeue" w:cs="HelveticaNeue"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sz w:val="18"/>
                <w:szCs w:val="18"/>
              </w:rPr>
              <w:t>73100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EFC" w:rsidRPr="005F69EF" w:rsidRDefault="00807EFC" w:rsidP="00884407">
            <w:pPr>
              <w:spacing w:after="0" w:line="240" w:lineRule="auto"/>
              <w:rPr>
                <w:rFonts w:ascii="HelveticaNeue" w:hAnsi="HelveticaNeue" w:cs="HelveticaNeue"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sz w:val="18"/>
                <w:szCs w:val="18"/>
              </w:rPr>
              <w:t>műszaki, természettudományi kutatás és kísérleti fejlesztés</w:t>
            </w:r>
          </w:p>
        </w:tc>
      </w:tr>
      <w:tr w:rsidR="00807EFC" w:rsidRPr="005F69EF" w:rsidTr="00807EFC">
        <w:trPr>
          <w:trHeight w:val="24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EFC" w:rsidRPr="005F69EF" w:rsidRDefault="00807EFC" w:rsidP="00884407">
            <w:pPr>
              <w:spacing w:after="0" w:line="240" w:lineRule="auto"/>
              <w:jc w:val="right"/>
              <w:rPr>
                <w:rFonts w:ascii="HelveticaNeue" w:hAnsi="HelveticaNeue" w:cs="HelveticaNeue"/>
                <w:b/>
                <w:bCs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b/>
                <w:bCs/>
                <w:sz w:val="18"/>
                <w:szCs w:val="18"/>
              </w:rPr>
              <w:t>74000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EFC" w:rsidRPr="005F69EF" w:rsidRDefault="00807EFC" w:rsidP="00884407">
            <w:pPr>
              <w:spacing w:after="0" w:line="240" w:lineRule="auto"/>
              <w:rPr>
                <w:rFonts w:ascii="HelveticaNeue" w:hAnsi="HelveticaNeue" w:cs="HelveticaNeue"/>
                <w:b/>
                <w:bCs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b/>
                <w:bCs/>
                <w:sz w:val="18"/>
                <w:szCs w:val="18"/>
              </w:rPr>
              <w:t>a gazdasági tevékenységet segítő szolgáltatás</w:t>
            </w:r>
          </w:p>
        </w:tc>
      </w:tr>
      <w:tr w:rsidR="00807EFC" w:rsidRPr="005F69EF" w:rsidTr="00807EFC">
        <w:trPr>
          <w:trHeight w:val="24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EFC" w:rsidRPr="005F69EF" w:rsidRDefault="00807EFC" w:rsidP="00884407">
            <w:pPr>
              <w:spacing w:after="0" w:line="240" w:lineRule="auto"/>
              <w:jc w:val="right"/>
              <w:rPr>
                <w:rFonts w:ascii="HelveticaNeue" w:hAnsi="HelveticaNeue" w:cs="HelveticaNeue"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sz w:val="18"/>
                <w:szCs w:val="18"/>
              </w:rPr>
              <w:t>74230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EFC" w:rsidRPr="005F69EF" w:rsidRDefault="00807EFC" w:rsidP="00884407">
            <w:pPr>
              <w:spacing w:after="0" w:line="240" w:lineRule="auto"/>
              <w:rPr>
                <w:rFonts w:ascii="HelveticaNeue" w:hAnsi="HelveticaNeue" w:cs="HelveticaNeue"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sz w:val="18"/>
                <w:szCs w:val="18"/>
              </w:rPr>
              <w:t>műszaki tesztelés és elemzés</w:t>
            </w:r>
          </w:p>
        </w:tc>
      </w:tr>
      <w:tr w:rsidR="00807EFC" w:rsidRPr="005F69EF" w:rsidTr="00807EFC">
        <w:trPr>
          <w:trHeight w:val="24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EFC" w:rsidRPr="005F69EF" w:rsidRDefault="00807EFC" w:rsidP="00884407">
            <w:pPr>
              <w:spacing w:after="0" w:line="240" w:lineRule="auto"/>
              <w:jc w:val="right"/>
              <w:rPr>
                <w:rFonts w:ascii="HelveticaNeue" w:hAnsi="HelveticaNeue" w:cs="HelveticaNeue"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sz w:val="18"/>
                <w:szCs w:val="18"/>
              </w:rPr>
              <w:t>74220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EFC" w:rsidRPr="005F69EF" w:rsidRDefault="00807EFC" w:rsidP="00884407">
            <w:pPr>
              <w:spacing w:after="0" w:line="240" w:lineRule="auto"/>
              <w:rPr>
                <w:rFonts w:ascii="HelveticaNeue" w:hAnsi="HelveticaNeue" w:cs="HelveticaNeue"/>
                <w:sz w:val="18"/>
                <w:szCs w:val="18"/>
              </w:rPr>
            </w:pPr>
            <w:r w:rsidRPr="005F69EF">
              <w:rPr>
                <w:rFonts w:ascii="HelveticaNeue" w:hAnsi="HelveticaNeue" w:cs="HelveticaNeue"/>
                <w:sz w:val="18"/>
                <w:szCs w:val="18"/>
              </w:rPr>
              <w:t>szakmai, tűz- és munkavédelmi tanácsadás</w:t>
            </w:r>
          </w:p>
        </w:tc>
      </w:tr>
    </w:tbl>
    <w:p w:rsidR="00807EFC" w:rsidRDefault="00807EFC" w:rsidP="00E67F1C">
      <w:pPr>
        <w:pStyle w:val="Listaszerbekezds"/>
        <w:jc w:val="both"/>
      </w:pPr>
    </w:p>
    <w:p w:rsidR="00807EFC" w:rsidRDefault="00807EFC" w:rsidP="00E67F1C">
      <w:pPr>
        <w:pStyle w:val="Listaszerbekezds"/>
        <w:jc w:val="both"/>
      </w:pPr>
    </w:p>
    <w:p w:rsidR="00B22153" w:rsidRDefault="00884407" w:rsidP="00D83544">
      <w:pPr>
        <w:pStyle w:val="Listaszerbekezds"/>
        <w:numPr>
          <w:ilvl w:val="0"/>
          <w:numId w:val="1"/>
        </w:numPr>
        <w:jc w:val="both"/>
      </w:pPr>
      <w:r>
        <w:t>V</w:t>
      </w:r>
      <w:r w:rsidR="00B22153">
        <w:t>eszélyes tevékenységek limittől függő</w:t>
      </w:r>
      <w:r>
        <w:t xml:space="preserve"> engedélyezési köre megváltozik:</w:t>
      </w:r>
    </w:p>
    <w:p w:rsidR="00B22153" w:rsidRDefault="0048425B" w:rsidP="0048425B">
      <w:pPr>
        <w:pStyle w:val="Listaszerbekezds"/>
        <w:numPr>
          <w:ilvl w:val="1"/>
          <w:numId w:val="1"/>
        </w:numPr>
        <w:jc w:val="both"/>
      </w:pPr>
      <w:r>
        <w:t xml:space="preserve">10/50 limitig: továbbra is engedély nélkül lehet </w:t>
      </w:r>
      <w:proofErr w:type="spellStart"/>
      <w:r>
        <w:t>tarifálni</w:t>
      </w:r>
      <w:proofErr w:type="spellEnd"/>
    </w:p>
    <w:p w:rsidR="0048425B" w:rsidRDefault="0048425B" w:rsidP="0048425B">
      <w:pPr>
        <w:pStyle w:val="Listaszerbekezds"/>
        <w:numPr>
          <w:ilvl w:val="1"/>
          <w:numId w:val="1"/>
        </w:numPr>
        <w:jc w:val="both"/>
      </w:pPr>
      <w:r>
        <w:t>50/150 limitig: szakmai támogató engedélyköteles</w:t>
      </w:r>
    </w:p>
    <w:p w:rsidR="0048425B" w:rsidRDefault="0048425B" w:rsidP="0048425B">
      <w:pPr>
        <w:pStyle w:val="Listaszerbekezds"/>
        <w:numPr>
          <w:ilvl w:val="1"/>
          <w:numId w:val="1"/>
        </w:numPr>
        <w:jc w:val="both"/>
      </w:pPr>
      <w:r>
        <w:t>100/300 limitig: kockázatvállaló engedélyköteles</w:t>
      </w:r>
    </w:p>
    <w:p w:rsidR="0048425B" w:rsidRDefault="0048425B" w:rsidP="0048425B">
      <w:pPr>
        <w:pStyle w:val="Listaszerbekezds"/>
        <w:numPr>
          <w:ilvl w:val="1"/>
          <w:numId w:val="1"/>
        </w:numPr>
        <w:jc w:val="both"/>
      </w:pPr>
      <w:r>
        <w:t>100/300 felett: VIG engedélyköteles</w:t>
      </w:r>
    </w:p>
    <w:p w:rsidR="00884407" w:rsidRDefault="00884407" w:rsidP="00B22153">
      <w:pPr>
        <w:pStyle w:val="Listaszerbekezds"/>
        <w:jc w:val="both"/>
      </w:pPr>
    </w:p>
    <w:p w:rsidR="00B22153" w:rsidRDefault="00B22153" w:rsidP="00B22153">
      <w:pPr>
        <w:pStyle w:val="Listaszerbekezds"/>
        <w:numPr>
          <w:ilvl w:val="0"/>
          <w:numId w:val="1"/>
        </w:numPr>
        <w:jc w:val="both"/>
      </w:pPr>
      <w:r>
        <w:t>Az alábbi tevékenységek ’</w:t>
      </w:r>
      <w:proofErr w:type="gramStart"/>
      <w:r>
        <w:t>A</w:t>
      </w:r>
      <w:proofErr w:type="gramEnd"/>
      <w:r>
        <w:t>’ betűvel ell</w:t>
      </w:r>
      <w:r w:rsidR="002031A7">
        <w:t>átott veszélyes tevékenységek lettek:</w:t>
      </w:r>
    </w:p>
    <w:p w:rsidR="002031A7" w:rsidRDefault="002031A7" w:rsidP="00B22153">
      <w:pPr>
        <w:pStyle w:val="Listaszerbekezds"/>
        <w:jc w:val="both"/>
      </w:pPr>
    </w:p>
    <w:p w:rsidR="00B22153" w:rsidRDefault="0048425B" w:rsidP="00B22153">
      <w:pPr>
        <w:pStyle w:val="Listaszerbekezds"/>
        <w:jc w:val="both"/>
      </w:pPr>
      <w:r>
        <w:t>26520 Beton-, cement- és gipsztermékek gyártása</w:t>
      </w:r>
    </w:p>
    <w:p w:rsidR="0048425B" w:rsidRDefault="0048425B" w:rsidP="00B22153">
      <w:pPr>
        <w:pStyle w:val="Listaszerbekezds"/>
        <w:jc w:val="both"/>
      </w:pPr>
      <w:r>
        <w:t>35000 Járművek, járműalkatrészek gyártása</w:t>
      </w:r>
    </w:p>
    <w:p w:rsidR="0048425B" w:rsidRDefault="0048425B" w:rsidP="00B22153">
      <w:pPr>
        <w:pStyle w:val="Listaszerbekezds"/>
        <w:jc w:val="both"/>
      </w:pPr>
      <w:r>
        <w:t>35120 Csónak- és sporthajó gyártás</w:t>
      </w:r>
    </w:p>
    <w:p w:rsidR="0048425B" w:rsidRDefault="0048425B" w:rsidP="00B22153">
      <w:pPr>
        <w:pStyle w:val="Listaszerbekezds"/>
        <w:jc w:val="both"/>
      </w:pPr>
      <w:r>
        <w:t>35930 Járműalkatrészek gyártása</w:t>
      </w:r>
    </w:p>
    <w:p w:rsidR="0048425B" w:rsidRDefault="0048425B" w:rsidP="00B22153">
      <w:pPr>
        <w:pStyle w:val="Listaszerbekezds"/>
        <w:jc w:val="both"/>
      </w:pPr>
      <w:r>
        <w:t>35300 Kerékpár és motorkerékpár gyártása</w:t>
      </w:r>
    </w:p>
    <w:p w:rsidR="0048425B" w:rsidRDefault="0048425B" w:rsidP="00B22153">
      <w:pPr>
        <w:pStyle w:val="Listaszerbekezds"/>
        <w:jc w:val="both"/>
      </w:pPr>
      <w:r>
        <w:t>50000 Gépjármű és üzemanyag kereskedelem</w:t>
      </w:r>
    </w:p>
    <w:p w:rsidR="0048425B" w:rsidRDefault="0048425B" w:rsidP="00B22153">
      <w:pPr>
        <w:pStyle w:val="Listaszerbekezds"/>
        <w:jc w:val="both"/>
      </w:pPr>
      <w:r>
        <w:t>50311 Akkumulátor kereskedelem</w:t>
      </w:r>
    </w:p>
    <w:p w:rsidR="0048425B" w:rsidRDefault="0048425B" w:rsidP="00B22153">
      <w:pPr>
        <w:pStyle w:val="Listaszerbekezds"/>
        <w:jc w:val="both"/>
      </w:pPr>
      <w:r>
        <w:t>50322 Autógumi kereskedelem</w:t>
      </w:r>
    </w:p>
    <w:p w:rsidR="0048425B" w:rsidRDefault="0048425B" w:rsidP="00B22153">
      <w:pPr>
        <w:pStyle w:val="Listaszerbekezds"/>
        <w:jc w:val="both"/>
      </w:pPr>
      <w:r>
        <w:t>50321 Gépjármű alkatrész kereskedelem</w:t>
      </w:r>
    </w:p>
    <w:p w:rsidR="0048425B" w:rsidRDefault="0048425B" w:rsidP="00B22153">
      <w:pPr>
        <w:pStyle w:val="Listaszerbekezds"/>
        <w:jc w:val="both"/>
      </w:pPr>
      <w:r>
        <w:t>50320 Motorkerékpár kereskedelem</w:t>
      </w:r>
    </w:p>
    <w:p w:rsidR="0048425B" w:rsidRDefault="0048425B" w:rsidP="00B22153">
      <w:pPr>
        <w:pStyle w:val="Listaszerbekezds"/>
        <w:jc w:val="both"/>
      </w:pPr>
      <w:r>
        <w:t>50100 Személy és tehergépkocsi kereskedelem</w:t>
      </w:r>
    </w:p>
    <w:p w:rsidR="0048425B" w:rsidRDefault="0048425B" w:rsidP="00B22153">
      <w:pPr>
        <w:pStyle w:val="Listaszerbekezds"/>
        <w:jc w:val="both"/>
      </w:pPr>
      <w:r>
        <w:t xml:space="preserve">50110 </w:t>
      </w:r>
      <w:proofErr w:type="spellStart"/>
      <w:r>
        <w:t>Gápjármű</w:t>
      </w:r>
      <w:proofErr w:type="spellEnd"/>
      <w:r>
        <w:t xml:space="preserve"> márkakereskedés és </w:t>
      </w:r>
      <w:proofErr w:type="spellStart"/>
      <w:r>
        <w:t>szervíz</w:t>
      </w:r>
      <w:proofErr w:type="spellEnd"/>
    </w:p>
    <w:p w:rsidR="00B22153" w:rsidRDefault="00B22153" w:rsidP="00B22153">
      <w:pPr>
        <w:jc w:val="both"/>
      </w:pPr>
    </w:p>
    <w:p w:rsidR="00B22153" w:rsidRDefault="00B22153" w:rsidP="00B22153">
      <w:pPr>
        <w:ind w:left="360"/>
        <w:jc w:val="both"/>
      </w:pPr>
    </w:p>
    <w:p w:rsidR="00045ABE" w:rsidRDefault="00045ABE"/>
    <w:sectPr w:rsidR="00045ABE" w:rsidSect="00871E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HelveticaNeue"/>
    <w:panose1 w:val="020B0500040000020004"/>
    <w:charset w:val="EE"/>
    <w:family w:val="swiss"/>
    <w:pitch w:val="variable"/>
    <w:sig w:usb0="800000AF" w:usb1="40000048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B1F"/>
    <w:multiLevelType w:val="hybridMultilevel"/>
    <w:tmpl w:val="42E25580"/>
    <w:lvl w:ilvl="0" w:tplc="AA7E0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C68"/>
    <w:multiLevelType w:val="hybridMultilevel"/>
    <w:tmpl w:val="7BFE44AE"/>
    <w:lvl w:ilvl="0" w:tplc="A4409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BE"/>
    <w:rsid w:val="00045ABE"/>
    <w:rsid w:val="002031A7"/>
    <w:rsid w:val="00263AA9"/>
    <w:rsid w:val="0048425B"/>
    <w:rsid w:val="005757E9"/>
    <w:rsid w:val="00616C65"/>
    <w:rsid w:val="00636268"/>
    <w:rsid w:val="006A4666"/>
    <w:rsid w:val="006D4755"/>
    <w:rsid w:val="007555F1"/>
    <w:rsid w:val="007721D9"/>
    <w:rsid w:val="007A1FBB"/>
    <w:rsid w:val="00807EFC"/>
    <w:rsid w:val="00871EAC"/>
    <w:rsid w:val="00884407"/>
    <w:rsid w:val="009022BE"/>
    <w:rsid w:val="0093675B"/>
    <w:rsid w:val="009875E2"/>
    <w:rsid w:val="00A80609"/>
    <w:rsid w:val="00A81BBD"/>
    <w:rsid w:val="00B22153"/>
    <w:rsid w:val="00B82BD6"/>
    <w:rsid w:val="00C34396"/>
    <w:rsid w:val="00CA5E6B"/>
    <w:rsid w:val="00D0607B"/>
    <w:rsid w:val="00D83544"/>
    <w:rsid w:val="00DF3DC3"/>
    <w:rsid w:val="00E24A4D"/>
    <w:rsid w:val="00E34755"/>
    <w:rsid w:val="00E67F1C"/>
    <w:rsid w:val="00E82474"/>
    <w:rsid w:val="00EC44CA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03E2-E38C-4108-A09D-430BD572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Generali-Providencia Zrt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Durda István</dc:creator>
  <cp:lastModifiedBy>Durda István</cp:lastModifiedBy>
  <cp:revision>6</cp:revision>
  <dcterms:created xsi:type="dcterms:W3CDTF">2015-03-30T06:38:00Z</dcterms:created>
  <dcterms:modified xsi:type="dcterms:W3CDTF">2015-03-30T07:35:00Z</dcterms:modified>
</cp:coreProperties>
</file>