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54" w:rsidRPr="005E5054" w:rsidRDefault="005E5054" w:rsidP="00546AD5">
      <w:pPr>
        <w:tabs>
          <w:tab w:val="left" w:pos="284"/>
        </w:tabs>
        <w:autoSpaceDE w:val="0"/>
        <w:autoSpaceDN w:val="0"/>
        <w:adjustRightInd w:val="0"/>
        <w:ind w:left="284" w:hanging="284"/>
        <w:jc w:val="center"/>
        <w:rPr>
          <w:b/>
          <w:sz w:val="24"/>
          <w:szCs w:val="24"/>
        </w:rPr>
      </w:pPr>
      <w:r w:rsidRPr="005E5054">
        <w:rPr>
          <w:b/>
          <w:sz w:val="24"/>
          <w:szCs w:val="24"/>
        </w:rPr>
        <w:t>Általános és szakmai f</w:t>
      </w:r>
      <w:r w:rsidR="00546AD5" w:rsidRPr="005E5054">
        <w:rPr>
          <w:b/>
          <w:sz w:val="24"/>
          <w:szCs w:val="24"/>
        </w:rPr>
        <w:t>elelősség</w:t>
      </w:r>
      <w:r w:rsidRPr="005E5054">
        <w:rPr>
          <w:b/>
          <w:sz w:val="24"/>
          <w:szCs w:val="24"/>
        </w:rPr>
        <w:t>biztosítási</w:t>
      </w:r>
      <w:r w:rsidR="00546AD5" w:rsidRPr="005E5054">
        <w:rPr>
          <w:b/>
          <w:sz w:val="24"/>
          <w:szCs w:val="24"/>
        </w:rPr>
        <w:t xml:space="preserve"> feltételek módosítása</w:t>
      </w:r>
    </w:p>
    <w:p w:rsidR="005E5054" w:rsidRPr="005E5054" w:rsidRDefault="005E5054" w:rsidP="00546AD5">
      <w:pPr>
        <w:tabs>
          <w:tab w:val="left" w:pos="284"/>
        </w:tabs>
        <w:autoSpaceDE w:val="0"/>
        <w:autoSpaceDN w:val="0"/>
        <w:adjustRightInd w:val="0"/>
        <w:ind w:left="284" w:hanging="284"/>
        <w:jc w:val="center"/>
        <w:rPr>
          <w:b/>
          <w:sz w:val="24"/>
          <w:szCs w:val="24"/>
        </w:rPr>
      </w:pPr>
      <w:r w:rsidRPr="005E5054">
        <w:rPr>
          <w:b/>
          <w:sz w:val="24"/>
          <w:szCs w:val="24"/>
        </w:rPr>
        <w:t>2015.03.27.</w:t>
      </w:r>
    </w:p>
    <w:p w:rsidR="00546AD5" w:rsidRDefault="00546AD5" w:rsidP="003B3EA5">
      <w:pPr>
        <w:rPr>
          <w:b/>
          <w:color w:val="FF0000"/>
        </w:rPr>
      </w:pPr>
    </w:p>
    <w:p w:rsidR="005E5054" w:rsidRPr="005E5054" w:rsidRDefault="005E5054" w:rsidP="003B3EA5">
      <w:pPr>
        <w:rPr>
          <w:b/>
          <w:color w:val="FF0000"/>
        </w:rPr>
      </w:pPr>
    </w:p>
    <w:p w:rsidR="002F55F3" w:rsidRPr="005E5054" w:rsidRDefault="002F55F3" w:rsidP="003B3EA5">
      <w:pPr>
        <w:rPr>
          <w:b/>
          <w:color w:val="FF0000"/>
        </w:rPr>
      </w:pPr>
    </w:p>
    <w:p w:rsidR="005E5054" w:rsidRPr="005E5054" w:rsidRDefault="005E5054" w:rsidP="005E5054">
      <w:pPr>
        <w:rPr>
          <w:b/>
        </w:rPr>
      </w:pPr>
      <w:r w:rsidRPr="005E5054">
        <w:rPr>
          <w:b/>
        </w:rPr>
        <w:t>1</w:t>
      </w:r>
      <w:r w:rsidRPr="005E5054">
        <w:rPr>
          <w:b/>
        </w:rPr>
        <w:t xml:space="preserve">. </w:t>
      </w:r>
      <w:proofErr w:type="spellStart"/>
      <w:r w:rsidRPr="005E5054">
        <w:rPr>
          <w:b/>
        </w:rPr>
        <w:t>Ügyféltájékoztató</w:t>
      </w:r>
      <w:proofErr w:type="spellEnd"/>
      <w:r w:rsidRPr="005E5054">
        <w:rPr>
          <w:b/>
        </w:rPr>
        <w:t xml:space="preserve"> külön </w:t>
      </w:r>
      <w:r w:rsidRPr="005E5054">
        <w:rPr>
          <w:b/>
        </w:rPr>
        <w:t xml:space="preserve">PDF </w:t>
      </w:r>
      <w:r w:rsidRPr="005E5054">
        <w:rPr>
          <w:b/>
        </w:rPr>
        <w:t>dokumentumban (minden feltétel)</w:t>
      </w:r>
    </w:p>
    <w:p w:rsidR="005E5054" w:rsidRPr="005E5054" w:rsidRDefault="005E5054" w:rsidP="003B3EA5">
      <w:pPr>
        <w:rPr>
          <w:b/>
        </w:rPr>
      </w:pPr>
    </w:p>
    <w:p w:rsidR="005E5054" w:rsidRPr="005E5054" w:rsidRDefault="005E5054" w:rsidP="005E5054">
      <w:pPr>
        <w:jc w:val="both"/>
      </w:pPr>
      <w:r w:rsidRPr="005E5054">
        <w:t xml:space="preserve">Korábban a feltétel részeként egy PDF dokumentumban volt elérhető a Generali általános </w:t>
      </w:r>
      <w:proofErr w:type="spellStart"/>
      <w:r w:rsidRPr="005E5054">
        <w:t>ügyféltájékoztatója</w:t>
      </w:r>
      <w:proofErr w:type="spellEnd"/>
      <w:r w:rsidRPr="005E5054">
        <w:t xml:space="preserve">. Ez mostantól különválik, tehát külön dokumentumként szükséges átadni a Partnernek. </w:t>
      </w:r>
    </w:p>
    <w:p w:rsidR="005E5054" w:rsidRPr="005E5054" w:rsidRDefault="005E5054" w:rsidP="003B3EA5">
      <w:pPr>
        <w:rPr>
          <w:b/>
        </w:rPr>
      </w:pPr>
    </w:p>
    <w:p w:rsidR="005E5054" w:rsidRPr="005E5054" w:rsidRDefault="005E5054" w:rsidP="003B3EA5">
      <w:pPr>
        <w:rPr>
          <w:b/>
        </w:rPr>
      </w:pPr>
    </w:p>
    <w:p w:rsidR="002F55F3" w:rsidRPr="005E5054" w:rsidRDefault="005E5054" w:rsidP="00FB4214">
      <w:pPr>
        <w:rPr>
          <w:b/>
        </w:rPr>
      </w:pPr>
      <w:r w:rsidRPr="005E5054">
        <w:rPr>
          <w:b/>
        </w:rPr>
        <w:t>2</w:t>
      </w:r>
      <w:r w:rsidR="00FB4214" w:rsidRPr="005E5054">
        <w:rPr>
          <w:b/>
        </w:rPr>
        <w:t xml:space="preserve">. </w:t>
      </w:r>
      <w:r w:rsidR="002F55F3" w:rsidRPr="005E5054">
        <w:rPr>
          <w:b/>
        </w:rPr>
        <w:t>MNB határozat miatti módosítások</w:t>
      </w:r>
      <w:r w:rsidR="00FB4214" w:rsidRPr="005E5054">
        <w:rPr>
          <w:b/>
        </w:rPr>
        <w:t xml:space="preserve"> (minden feltétel)</w:t>
      </w:r>
    </w:p>
    <w:p w:rsidR="002F55F3" w:rsidRPr="005E5054" w:rsidRDefault="002F55F3" w:rsidP="003B3EA5">
      <w:pPr>
        <w:rPr>
          <w:b/>
          <w:color w:val="FF0000"/>
        </w:rPr>
      </w:pPr>
    </w:p>
    <w:p w:rsidR="005E5054" w:rsidRPr="005E5054" w:rsidRDefault="002F55F3" w:rsidP="002F55F3">
      <w:pPr>
        <w:jc w:val="both"/>
      </w:pPr>
      <w:r w:rsidRPr="005E5054">
        <w:t xml:space="preserve">Az MNB a legutóbbi felügyeleti ellenőrzése során a CASCO és a lakásbiztosítási feltételeket ellenőrizte. Ennek során – fogyasztóvédelmi célzattal - határozattal köteleztek minket pár módosításra a feltételekben. </w:t>
      </w:r>
    </w:p>
    <w:p w:rsidR="002F55F3" w:rsidRPr="005E5054" w:rsidRDefault="00FB4214" w:rsidP="002F55F3">
      <w:pPr>
        <w:jc w:val="both"/>
      </w:pPr>
      <w:r w:rsidRPr="005E5054">
        <w:t>Lényegében a Ptk. vonatkozó rendelkezéseit kellett szó szerint betenni.</w:t>
      </w:r>
    </w:p>
    <w:p w:rsidR="00546AD5" w:rsidRPr="005E5054" w:rsidRDefault="00546AD5" w:rsidP="003B3EA5">
      <w:pPr>
        <w:rPr>
          <w:b/>
          <w:color w:val="FF0000"/>
        </w:rPr>
      </w:pPr>
    </w:p>
    <w:p w:rsidR="00FB4214" w:rsidRPr="005E5054" w:rsidRDefault="00FB4214" w:rsidP="003B3EA5">
      <w:pPr>
        <w:rPr>
          <w:u w:val="single"/>
        </w:rPr>
      </w:pPr>
      <w:r w:rsidRPr="005E5054">
        <w:rPr>
          <w:u w:val="single"/>
        </w:rPr>
        <w:t>Módosítások:</w:t>
      </w:r>
    </w:p>
    <w:p w:rsidR="00FB4214" w:rsidRPr="005E5054" w:rsidRDefault="003B3EA5" w:rsidP="00FB4214">
      <w:pPr>
        <w:pStyle w:val="Listaszerbekezds"/>
        <w:numPr>
          <w:ilvl w:val="0"/>
          <w:numId w:val="2"/>
        </w:numPr>
      </w:pPr>
      <w:r w:rsidRPr="005E5054">
        <w:t xml:space="preserve">A biztosítási díjfizetés </w:t>
      </w:r>
      <w:r w:rsidR="00FB4214" w:rsidRPr="005E5054">
        <w:t>elmulasztásának következményeinek pontosítása</w:t>
      </w:r>
    </w:p>
    <w:p w:rsidR="006A1817" w:rsidRPr="005E5054" w:rsidRDefault="003B3EA5" w:rsidP="00FB4214">
      <w:pPr>
        <w:pStyle w:val="Listaszerbekezds"/>
      </w:pPr>
      <w:r w:rsidRPr="005E5054">
        <w:t xml:space="preserve">VI.6.3. </w:t>
      </w:r>
      <w:r w:rsidR="006A1817" w:rsidRPr="005E5054">
        <w:t>Ha az esedékes díjnak csak egy részét fizették meg, a szerződés változatlan biztosítási összeggel, a befizetett díjjal arányos időtartamra marad fenn.</w:t>
      </w:r>
    </w:p>
    <w:p w:rsidR="00996F92" w:rsidRPr="005E5054" w:rsidRDefault="00996F92"/>
    <w:p w:rsidR="00584895" w:rsidRPr="005E5054" w:rsidRDefault="00584895" w:rsidP="00FB4214">
      <w:pPr>
        <w:pStyle w:val="Listaszerbekezds"/>
        <w:numPr>
          <w:ilvl w:val="0"/>
          <w:numId w:val="2"/>
        </w:numPr>
      </w:pPr>
      <w:r w:rsidRPr="005E5054">
        <w:t>Felek együttműködése</w:t>
      </w:r>
      <w:r w:rsidR="005E5054">
        <w:t xml:space="preserve"> </w:t>
      </w:r>
      <w:r w:rsidRPr="005E5054">
        <w:t>-</w:t>
      </w:r>
      <w:r w:rsidR="005E5054">
        <w:t xml:space="preserve"> </w:t>
      </w:r>
      <w:proofErr w:type="spellStart"/>
      <w:r w:rsidRPr="005E5054">
        <w:t>Vál</w:t>
      </w:r>
      <w:r w:rsidR="00FB4214" w:rsidRPr="005E5054">
        <w:t>tozásbejelentési</w:t>
      </w:r>
      <w:proofErr w:type="spellEnd"/>
      <w:r w:rsidR="00FB4214" w:rsidRPr="005E5054">
        <w:t xml:space="preserve"> kötelezettség</w:t>
      </w:r>
    </w:p>
    <w:p w:rsidR="00006D66" w:rsidRPr="005E5054" w:rsidRDefault="0085309D" w:rsidP="00FB4214">
      <w:pPr>
        <w:autoSpaceDE w:val="0"/>
        <w:autoSpaceDN w:val="0"/>
        <w:adjustRightInd w:val="0"/>
        <w:ind w:left="709"/>
        <w:jc w:val="both"/>
      </w:pPr>
      <w:r w:rsidRPr="005E5054">
        <w:t>VII.</w:t>
      </w:r>
      <w:r w:rsidR="00584895" w:rsidRPr="005E5054">
        <w:t>2.</w:t>
      </w:r>
      <w:r w:rsidR="00006D66" w:rsidRPr="005E5054">
        <w:t>3.</w:t>
      </w:r>
      <w:r w:rsidR="00FB4214" w:rsidRPr="005E5054">
        <w:t xml:space="preserve"> </w:t>
      </w:r>
      <w:r w:rsidR="00006D66" w:rsidRPr="005E5054">
        <w:t>A szerződő és a biztosított nem védekezhet olyan körülmény vagy változás nem tudásával, amelyet bármelyikük elmulasztott a biztosítóval közölni, vagy neki bejelenteni, noha arról tudnia kellett, és a közlésre, illetőleg bejelentésre köteles lett volna.</w:t>
      </w:r>
    </w:p>
    <w:p w:rsidR="00BA1654" w:rsidRPr="005E5054" w:rsidRDefault="00BA1654" w:rsidP="00006D66">
      <w:pPr>
        <w:autoSpaceDE w:val="0"/>
        <w:autoSpaceDN w:val="0"/>
        <w:adjustRightInd w:val="0"/>
        <w:ind w:left="567" w:hanging="567"/>
        <w:jc w:val="both"/>
      </w:pPr>
    </w:p>
    <w:p w:rsidR="00BA1654" w:rsidRPr="005E5054" w:rsidRDefault="00BA1654" w:rsidP="00FB4214">
      <w:pPr>
        <w:autoSpaceDE w:val="0"/>
        <w:autoSpaceDN w:val="0"/>
        <w:adjustRightInd w:val="0"/>
        <w:ind w:left="709"/>
        <w:jc w:val="both"/>
      </w:pPr>
      <w:r w:rsidRPr="005E5054">
        <w:t>Ha a szerződés egyidejűleg több vagyontárgyra vagy személyre vonatkozik, és a biztosítási kockázat jelentős megnövekedése ezek közül csak egyesekkel összefüggésben merül fel, a biztosító a fentiekben meghatározott jogait a többi vagyontárgy vagy személy vonatkozásában nem gyakorolhatja.</w:t>
      </w:r>
    </w:p>
    <w:p w:rsidR="003B3EA5" w:rsidRPr="005E5054" w:rsidRDefault="003B3EA5" w:rsidP="00BA1654">
      <w:pPr>
        <w:autoSpaceDE w:val="0"/>
        <w:autoSpaceDN w:val="0"/>
        <w:adjustRightInd w:val="0"/>
        <w:ind w:left="567"/>
        <w:jc w:val="both"/>
      </w:pPr>
    </w:p>
    <w:p w:rsidR="00FB4214" w:rsidRPr="005E5054" w:rsidRDefault="00EB03D3" w:rsidP="00FB4214">
      <w:pPr>
        <w:pStyle w:val="Listaszerbekezds"/>
        <w:numPr>
          <w:ilvl w:val="0"/>
          <w:numId w:val="2"/>
        </w:numPr>
      </w:pPr>
      <w:proofErr w:type="spellStart"/>
      <w:r>
        <w:t>Ptk-tól</w:t>
      </w:r>
      <w:proofErr w:type="spellEnd"/>
      <w:r>
        <w:t xml:space="preserve"> e</w:t>
      </w:r>
      <w:r w:rsidR="00FB4214" w:rsidRPr="005E5054">
        <w:t>ltérő rendelkezésekbe</w:t>
      </w:r>
      <w:r w:rsidR="00072DA4" w:rsidRPr="005E5054">
        <w:t xml:space="preserve"> új pont</w:t>
      </w:r>
      <w:r w:rsidR="00FB4214" w:rsidRPr="005E5054">
        <w:t>:</w:t>
      </w:r>
    </w:p>
    <w:p w:rsidR="00FB4214" w:rsidRPr="005E5054" w:rsidRDefault="00FB4214" w:rsidP="00FB4214">
      <w:pPr>
        <w:ind w:left="709"/>
      </w:pPr>
      <w:r w:rsidRPr="005E5054">
        <w:t xml:space="preserve">XII.2.5. A biztosítási szolgáltatás egyoldalú leszállítási jogának kikötése a díjszámítás alapját képező adatokra vonatkozó közlési és </w:t>
      </w:r>
      <w:proofErr w:type="spellStart"/>
      <w:r w:rsidRPr="005E5054">
        <w:t>változásbejelentési</w:t>
      </w:r>
      <w:proofErr w:type="spellEnd"/>
      <w:r w:rsidRPr="005E5054">
        <w:t xml:space="preserve"> kötelezettség megsértése esetén</w:t>
      </w:r>
    </w:p>
    <w:p w:rsidR="00FB4214" w:rsidRPr="005E5054" w:rsidRDefault="00FB4214" w:rsidP="00FB4214"/>
    <w:p w:rsidR="00FB4214" w:rsidRPr="005E5054" w:rsidRDefault="00FB4214" w:rsidP="00FB4214">
      <w:pPr>
        <w:ind w:left="709"/>
        <w:jc w:val="both"/>
      </w:pPr>
      <w:r w:rsidRPr="005E5054">
        <w:t xml:space="preserve">Amennyiben szerződő a közlési és változás-bejelentési kötelezettségét azzal sérti meg, hogy a biztosítási díj számításához helytelen adatokat szolgáltat vagy nem tesz eleget a díjszámítás alapját képező adatok változására vonatkozó bejelentési kötelezettségének, abban az esetben káresemény bekövetkeztekor – jelen feltétel VI.5.1.7. </w:t>
      </w:r>
      <w:proofErr w:type="gramStart"/>
      <w:r w:rsidRPr="005E5054">
        <w:t>pontja</w:t>
      </w:r>
      <w:proofErr w:type="gramEnd"/>
      <w:r w:rsidRPr="005E5054">
        <w:t xml:space="preserve"> alapján, eltérően a Ptk. 6:446.§</w:t>
      </w:r>
      <w:proofErr w:type="spellStart"/>
      <w:r w:rsidRPr="005E5054">
        <w:t>-ától</w:t>
      </w:r>
      <w:proofErr w:type="spellEnd"/>
      <w:r w:rsidRPr="005E5054">
        <w:t xml:space="preserve"> – a biztosító csak a megállapított kár akkora részének a térítésére köteles, amekkora része a befizetett díj annak a díjnak, amelyet a szerződő helyes adatszolgáltatása esetén fel kellett volna számolni.</w:t>
      </w:r>
    </w:p>
    <w:p w:rsidR="003B3EA5" w:rsidRPr="005E5054" w:rsidRDefault="003B3EA5" w:rsidP="00BA1654">
      <w:pPr>
        <w:autoSpaceDE w:val="0"/>
        <w:autoSpaceDN w:val="0"/>
        <w:adjustRightInd w:val="0"/>
        <w:ind w:left="567"/>
        <w:jc w:val="both"/>
        <w:rPr>
          <w:sz w:val="18"/>
          <w:szCs w:val="18"/>
        </w:rPr>
      </w:pPr>
    </w:p>
    <w:p w:rsidR="005E5054" w:rsidRPr="005E5054" w:rsidRDefault="005E5054" w:rsidP="003B3EA5">
      <w:pPr>
        <w:autoSpaceDE w:val="0"/>
        <w:autoSpaceDN w:val="0"/>
        <w:adjustRightInd w:val="0"/>
        <w:rPr>
          <w:b/>
        </w:rPr>
      </w:pPr>
    </w:p>
    <w:p w:rsidR="003B3EA5" w:rsidRPr="005E5054" w:rsidRDefault="005E5054" w:rsidP="003B3EA5">
      <w:pPr>
        <w:autoSpaceDE w:val="0"/>
        <w:autoSpaceDN w:val="0"/>
        <w:adjustRightInd w:val="0"/>
        <w:rPr>
          <w:b/>
        </w:rPr>
      </w:pPr>
      <w:r w:rsidRPr="005E5054">
        <w:rPr>
          <w:b/>
        </w:rPr>
        <w:t>3</w:t>
      </w:r>
      <w:r w:rsidR="00FB4214" w:rsidRPr="005E5054">
        <w:rPr>
          <w:b/>
        </w:rPr>
        <w:t>. Új kizárás (minden feltétel)</w:t>
      </w:r>
    </w:p>
    <w:p w:rsidR="00FB4214" w:rsidRPr="005E5054" w:rsidRDefault="00FB4214" w:rsidP="003B3EA5">
      <w:pPr>
        <w:autoSpaceDE w:val="0"/>
        <w:autoSpaceDN w:val="0"/>
        <w:adjustRightInd w:val="0"/>
        <w:rPr>
          <w:b/>
        </w:rPr>
      </w:pPr>
    </w:p>
    <w:p w:rsidR="003B3EA5" w:rsidRPr="005E5054" w:rsidRDefault="00FB4214" w:rsidP="003B3EA5">
      <w:pPr>
        <w:autoSpaceDE w:val="0"/>
        <w:autoSpaceDN w:val="0"/>
        <w:adjustRightInd w:val="0"/>
        <w:jc w:val="both"/>
      </w:pPr>
      <w:r w:rsidRPr="005E5054">
        <w:t xml:space="preserve">Nem fedezi a biztosítás </w:t>
      </w:r>
      <w:r w:rsidR="003B3EA5" w:rsidRPr="005E5054">
        <w:t>azon kockázatokat, károkat és követeléseket, amelyek az ENSZ, az Egyesült Királyság, az Európai Unió vagy az Amerikai Egyesült Államok által alkalmazott embargóba vagy ezen szervezetek, országok egyéb gazdasági, kereskedelmi vagy pénzügyi tiltó vagy korlátozó</w:t>
      </w:r>
      <w:r w:rsidR="003B3EA5" w:rsidRPr="005E5054">
        <w:rPr>
          <w:b/>
        </w:rPr>
        <w:t xml:space="preserve"> </w:t>
      </w:r>
      <w:r w:rsidR="003B3EA5" w:rsidRPr="005E5054">
        <w:t>rendelkezéseibe ütköző magatartásból, tevékenységből erednek vagy azzal bármely módon összefüggésbe hozhatók.</w:t>
      </w:r>
    </w:p>
    <w:p w:rsidR="003B3EA5" w:rsidRPr="005E5054" w:rsidRDefault="003B3EA5" w:rsidP="003B3EA5">
      <w:pPr>
        <w:autoSpaceDE w:val="0"/>
        <w:autoSpaceDN w:val="0"/>
        <w:adjustRightInd w:val="0"/>
        <w:jc w:val="both"/>
      </w:pPr>
    </w:p>
    <w:p w:rsidR="005E5054" w:rsidRPr="005E5054" w:rsidRDefault="005E5054">
      <w:pPr>
        <w:rPr>
          <w:b/>
        </w:rPr>
      </w:pPr>
    </w:p>
    <w:p w:rsidR="005E5054" w:rsidRPr="005E5054" w:rsidRDefault="005E5054">
      <w:pPr>
        <w:rPr>
          <w:b/>
        </w:rPr>
      </w:pPr>
    </w:p>
    <w:p w:rsidR="005E5054" w:rsidRPr="005E5054" w:rsidRDefault="005E5054">
      <w:pPr>
        <w:rPr>
          <w:b/>
        </w:rPr>
      </w:pPr>
    </w:p>
    <w:p w:rsidR="005E5054" w:rsidRPr="005E5054" w:rsidRDefault="005E5054">
      <w:pPr>
        <w:rPr>
          <w:b/>
        </w:rPr>
      </w:pPr>
    </w:p>
    <w:p w:rsidR="005E5054" w:rsidRPr="005E5054" w:rsidRDefault="005E5054">
      <w:pPr>
        <w:rPr>
          <w:b/>
        </w:rPr>
      </w:pPr>
    </w:p>
    <w:p w:rsidR="005E5054" w:rsidRPr="005E5054" w:rsidRDefault="005E5054">
      <w:pPr>
        <w:rPr>
          <w:b/>
        </w:rPr>
      </w:pPr>
    </w:p>
    <w:p w:rsidR="005E5054" w:rsidRPr="005E5054" w:rsidRDefault="005E5054">
      <w:pPr>
        <w:rPr>
          <w:b/>
        </w:rPr>
      </w:pPr>
    </w:p>
    <w:p w:rsidR="00006D66" w:rsidRPr="005E5054" w:rsidRDefault="005E5054" w:rsidP="003B3EA5">
      <w:pPr>
        <w:rPr>
          <w:b/>
        </w:rPr>
      </w:pPr>
      <w:r w:rsidRPr="005E5054">
        <w:rPr>
          <w:b/>
        </w:rPr>
        <w:t>4</w:t>
      </w:r>
      <w:r w:rsidR="00FB4214" w:rsidRPr="005E5054">
        <w:rPr>
          <w:b/>
        </w:rPr>
        <w:t xml:space="preserve">. </w:t>
      </w:r>
      <w:r w:rsidRPr="005E5054">
        <w:rPr>
          <w:b/>
        </w:rPr>
        <w:t>Általános felelősségbiztosítás (ÁFF-KFF)</w:t>
      </w:r>
    </w:p>
    <w:p w:rsidR="00FB4214" w:rsidRDefault="00FB4214" w:rsidP="003B3EA5">
      <w:pPr>
        <w:rPr>
          <w:b/>
        </w:rPr>
      </w:pPr>
    </w:p>
    <w:p w:rsidR="00EB03D3" w:rsidRPr="007F3C46" w:rsidRDefault="00EB03D3" w:rsidP="00882378">
      <w:pPr>
        <w:jc w:val="both"/>
      </w:pPr>
      <w:r w:rsidRPr="007F3C46">
        <w:t>A termékfelelősség területi hatályát kiterjesz</w:t>
      </w:r>
      <w:r w:rsidR="007F3C46" w:rsidRPr="007F3C46">
        <w:t>tő külön feltételekbe pontosításra került, hogy ha a szerződés része a 329. KF (bővített termékfelelősség), akkor erre a külön feltételre kiterjed-e a területi hatály kiterjesztés vagy sem.</w:t>
      </w:r>
    </w:p>
    <w:p w:rsidR="007F3C46" w:rsidRDefault="00882378" w:rsidP="00882378">
      <w:pPr>
        <w:jc w:val="both"/>
      </w:pPr>
      <w:r>
        <w:t>Európa területi hatálynál (KF300) alapfedezetként kiterjed, de egyéb esetekben nem, kizárólag külön egyedi megállapodás alapján.</w:t>
      </w:r>
    </w:p>
    <w:p w:rsidR="00882378" w:rsidRPr="007F3C46" w:rsidRDefault="00882378" w:rsidP="00882378">
      <w:pPr>
        <w:jc w:val="both"/>
      </w:pPr>
    </w:p>
    <w:p w:rsidR="00EB03D3" w:rsidRPr="005E5054" w:rsidRDefault="00EB03D3" w:rsidP="00882378">
      <w:pPr>
        <w:jc w:val="both"/>
        <w:rPr>
          <w:b/>
        </w:rPr>
      </w:pPr>
    </w:p>
    <w:p w:rsidR="00FB4214" w:rsidRPr="005E5054" w:rsidRDefault="00072DA4" w:rsidP="00712C7E">
      <w:pPr>
        <w:ind w:left="709" w:hanging="709"/>
        <w:jc w:val="both"/>
      </w:pPr>
      <w:r w:rsidRPr="005E5054">
        <w:t xml:space="preserve">300. KF- Jelen külön feltétel alapján a termékfelelősség-biztosítási fedezet </w:t>
      </w:r>
      <w:r w:rsidRPr="00882378">
        <w:rPr>
          <w:b/>
          <w:u w:val="single"/>
        </w:rPr>
        <w:t xml:space="preserve">– </w:t>
      </w:r>
      <w:r w:rsidRPr="00882378">
        <w:rPr>
          <w:b/>
          <w:i/>
          <w:u w:val="single"/>
        </w:rPr>
        <w:t>illetve a 329. sz. külön feltétellel kiegészített felelősségbiztosítási szerződés esetén –</w:t>
      </w:r>
      <w:r w:rsidRPr="005E5054">
        <w:rPr>
          <w:i/>
        </w:rPr>
        <w:t xml:space="preserve"> a bővített termékfelelősség-biztosítási fedezet</w:t>
      </w:r>
      <w:r w:rsidRPr="005E5054">
        <w:t xml:space="preserve"> kiterjed az Európa területén okozott, bekövetkezett és érvényesített károkra.</w:t>
      </w:r>
    </w:p>
    <w:p w:rsidR="00072DA4" w:rsidRPr="005E5054" w:rsidRDefault="00072DA4" w:rsidP="00712C7E">
      <w:pPr>
        <w:ind w:left="709" w:hanging="709"/>
        <w:jc w:val="both"/>
      </w:pPr>
    </w:p>
    <w:p w:rsidR="00072DA4" w:rsidRPr="005E5054" w:rsidRDefault="00072DA4" w:rsidP="00712C7E">
      <w:pPr>
        <w:ind w:left="709" w:hanging="709"/>
        <w:jc w:val="both"/>
        <w:rPr>
          <w:i/>
        </w:rPr>
      </w:pPr>
      <w:r w:rsidRPr="005E5054">
        <w:t xml:space="preserve">301. KF- </w:t>
      </w:r>
      <w:r w:rsidRPr="005E5054">
        <w:rPr>
          <w:i/>
        </w:rPr>
        <w:t>Jelen külön feltétel szerinti területi hatály kiterjesztés nem vonatkozik a 329. sz. külön feltétellel fedezetbe vonat bővített termékfelelősség-biztosítási kockázatra.</w:t>
      </w:r>
    </w:p>
    <w:p w:rsidR="00072DA4" w:rsidRPr="005E5054" w:rsidRDefault="00072DA4" w:rsidP="00712C7E">
      <w:pPr>
        <w:ind w:left="709" w:hanging="709"/>
        <w:jc w:val="both"/>
      </w:pPr>
    </w:p>
    <w:p w:rsidR="00072DA4" w:rsidRPr="005E5054" w:rsidRDefault="00072DA4" w:rsidP="00712C7E">
      <w:pPr>
        <w:ind w:left="709" w:hanging="709"/>
        <w:jc w:val="both"/>
        <w:rPr>
          <w:i/>
        </w:rPr>
      </w:pPr>
      <w:r w:rsidRPr="005E5054">
        <w:t>302. KF-</w:t>
      </w:r>
      <w:r w:rsidRPr="005E5054">
        <w:rPr>
          <w:i/>
        </w:rPr>
        <w:t xml:space="preserve"> Jelen külön feltétel szerinti területi hatály kiterjesztés nem vonatkozik a 329. sz. külön feltétellel fedezetbe vonat bővített termékfelelősség-biztosítási kockázatra.</w:t>
      </w:r>
    </w:p>
    <w:p w:rsidR="00072DA4" w:rsidRPr="005E5054" w:rsidRDefault="00072DA4" w:rsidP="00712C7E">
      <w:pPr>
        <w:ind w:left="709" w:hanging="709"/>
        <w:jc w:val="both"/>
        <w:rPr>
          <w:i/>
        </w:rPr>
      </w:pPr>
    </w:p>
    <w:p w:rsidR="00712C7E" w:rsidRPr="005E5054" w:rsidRDefault="00712C7E" w:rsidP="00712C7E">
      <w:pPr>
        <w:jc w:val="both"/>
        <w:rPr>
          <w:b/>
          <w:bCs/>
          <w:color w:val="000000"/>
        </w:rPr>
      </w:pPr>
    </w:p>
    <w:p w:rsidR="00712C7E" w:rsidRPr="005E5054" w:rsidRDefault="00712C7E" w:rsidP="00712C7E">
      <w:pPr>
        <w:jc w:val="both"/>
        <w:rPr>
          <w:b/>
          <w:bCs/>
          <w:color w:val="000000"/>
        </w:rPr>
      </w:pPr>
    </w:p>
    <w:p w:rsidR="00712C7E" w:rsidRPr="005E5054" w:rsidRDefault="005E5054" w:rsidP="00712C7E">
      <w:pPr>
        <w:jc w:val="both"/>
        <w:rPr>
          <w:b/>
          <w:bCs/>
          <w:color w:val="000000"/>
        </w:rPr>
      </w:pPr>
      <w:r w:rsidRPr="005E5054">
        <w:rPr>
          <w:b/>
          <w:bCs/>
          <w:color w:val="000000"/>
        </w:rPr>
        <w:t>5</w:t>
      </w:r>
      <w:r w:rsidR="00712C7E" w:rsidRPr="005E5054">
        <w:rPr>
          <w:b/>
          <w:bCs/>
          <w:color w:val="000000"/>
        </w:rPr>
        <w:t xml:space="preserve">. </w:t>
      </w:r>
      <w:r w:rsidRPr="005E5054">
        <w:rPr>
          <w:b/>
          <w:bCs/>
          <w:color w:val="000000"/>
        </w:rPr>
        <w:t>Könyvelői és munkavállalói könyvelői szakmai felelősségbiztosítás (KTSZF, MKSZF)</w:t>
      </w:r>
    </w:p>
    <w:p w:rsidR="00712C7E" w:rsidRPr="005E5054" w:rsidRDefault="00712C7E" w:rsidP="00712C7E">
      <w:pPr>
        <w:jc w:val="both"/>
      </w:pPr>
      <w:r w:rsidRPr="005E5054">
        <w:rPr>
          <w:color w:val="000000"/>
        </w:rPr>
        <w:br/>
      </w:r>
      <w:r w:rsidRPr="005E5054">
        <w:t>Kizártuk a fedezetből a szavatosság alapján fennálló kötelezettségek teljesítését és az azzal összefüggésben felmerülő költségeket és egyéb kiadásokat.</w:t>
      </w:r>
    </w:p>
    <w:p w:rsidR="00712C7E" w:rsidRPr="005E5054" w:rsidRDefault="00712C7E" w:rsidP="00712C7E">
      <w:pPr>
        <w:jc w:val="both"/>
      </w:pPr>
    </w:p>
    <w:p w:rsidR="005E5054" w:rsidRPr="005E5054" w:rsidRDefault="005E5054" w:rsidP="00712C7E">
      <w:pPr>
        <w:jc w:val="both"/>
      </w:pPr>
    </w:p>
    <w:p w:rsidR="00712C7E" w:rsidRPr="005E5054" w:rsidRDefault="005E5054" w:rsidP="00712C7E">
      <w:pPr>
        <w:jc w:val="both"/>
        <w:rPr>
          <w:b/>
          <w:bCs/>
          <w:color w:val="000000"/>
        </w:rPr>
      </w:pPr>
      <w:r w:rsidRPr="005E5054">
        <w:rPr>
          <w:b/>
          <w:bCs/>
          <w:color w:val="000000"/>
        </w:rPr>
        <w:t>6</w:t>
      </w:r>
      <w:r w:rsidR="00712C7E" w:rsidRPr="005E5054">
        <w:rPr>
          <w:b/>
          <w:bCs/>
          <w:color w:val="000000"/>
        </w:rPr>
        <w:t xml:space="preserve">. </w:t>
      </w:r>
      <w:r w:rsidRPr="005E5054">
        <w:rPr>
          <w:b/>
          <w:bCs/>
          <w:color w:val="000000"/>
        </w:rPr>
        <w:t>Vagyonvédelmi szakmai felelősség (</w:t>
      </w:r>
      <w:r w:rsidR="00712C7E" w:rsidRPr="005E5054">
        <w:rPr>
          <w:b/>
          <w:bCs/>
          <w:color w:val="000000"/>
        </w:rPr>
        <w:t>VVSZF</w:t>
      </w:r>
      <w:r w:rsidRPr="005E5054">
        <w:rPr>
          <w:b/>
          <w:bCs/>
          <w:color w:val="000000"/>
        </w:rPr>
        <w:t>)</w:t>
      </w:r>
      <w:r w:rsidR="00712C7E" w:rsidRPr="005E5054">
        <w:rPr>
          <w:b/>
          <w:bCs/>
          <w:color w:val="000000"/>
        </w:rPr>
        <w:t>:</w:t>
      </w:r>
    </w:p>
    <w:p w:rsidR="00E405DA" w:rsidRPr="005E5054" w:rsidRDefault="00E405DA" w:rsidP="00712C7E">
      <w:pPr>
        <w:jc w:val="both"/>
        <w:rPr>
          <w:b/>
          <w:bCs/>
          <w:color w:val="000000"/>
        </w:rPr>
      </w:pPr>
    </w:p>
    <w:p w:rsidR="00712C7E" w:rsidRPr="005E5054" w:rsidRDefault="00712C7E" w:rsidP="00712C7E">
      <w:pPr>
        <w:jc w:val="both"/>
        <w:rPr>
          <w:color w:val="000000"/>
        </w:rPr>
      </w:pPr>
      <w:r w:rsidRPr="005E5054">
        <w:rPr>
          <w:color w:val="000000"/>
        </w:rPr>
        <w:t>Nevesítettük a kockázatviselés tárgya körében, hogy a szerződésszegéssel és szerződésen kívül okozott károk megtérítésére is kiterjed a fedezet.</w:t>
      </w:r>
    </w:p>
    <w:p w:rsidR="00712C7E" w:rsidRPr="005E5054" w:rsidRDefault="00712C7E" w:rsidP="00712C7E">
      <w:pPr>
        <w:jc w:val="both"/>
        <w:rPr>
          <w:color w:val="000000"/>
        </w:rPr>
      </w:pPr>
      <w:r w:rsidRPr="005E5054">
        <w:rPr>
          <w:color w:val="000000"/>
        </w:rPr>
        <w:t xml:space="preserve">                                                                                    </w:t>
      </w:r>
    </w:p>
    <w:p w:rsidR="00712C7E" w:rsidRPr="005E5054" w:rsidRDefault="00712C7E" w:rsidP="00712C7E">
      <w:pPr>
        <w:jc w:val="both"/>
        <w:rPr>
          <w:color w:val="000000"/>
        </w:rPr>
      </w:pPr>
      <w:r w:rsidRPr="005E5054">
        <w:rPr>
          <w:color w:val="000000"/>
        </w:rPr>
        <w:t xml:space="preserve">373. </w:t>
      </w:r>
      <w:r w:rsidR="005E5054" w:rsidRPr="005E5054">
        <w:rPr>
          <w:color w:val="000000"/>
        </w:rPr>
        <w:t xml:space="preserve">külön feltételbe </w:t>
      </w:r>
      <w:r w:rsidR="00882378">
        <w:rPr>
          <w:color w:val="000000"/>
        </w:rPr>
        <w:t>kiegészítő</w:t>
      </w:r>
      <w:bookmarkStart w:id="0" w:name="_GoBack"/>
      <w:bookmarkEnd w:id="0"/>
      <w:r w:rsidR="005E5054" w:rsidRPr="005E5054">
        <w:rPr>
          <w:color w:val="000000"/>
        </w:rPr>
        <w:t xml:space="preserve"> szövegezés</w:t>
      </w:r>
      <w:r w:rsidRPr="005E5054">
        <w:rPr>
          <w:color w:val="000000"/>
        </w:rPr>
        <w:t>:</w:t>
      </w:r>
    </w:p>
    <w:p w:rsidR="00712C7E" w:rsidRPr="005E5054" w:rsidRDefault="00712C7E" w:rsidP="00712C7E">
      <w:pPr>
        <w:jc w:val="both"/>
        <w:rPr>
          <w:color w:val="000000"/>
        </w:rPr>
      </w:pPr>
      <w:r w:rsidRPr="005E5054">
        <w:rPr>
          <w:color w:val="000000"/>
        </w:rPr>
        <w:t xml:space="preserve">5. Pénz, készpénz-helyettesítő fizetési eszköz vagy étkezési, illetve egyéb </w:t>
      </w:r>
      <w:proofErr w:type="spellStart"/>
      <w:r w:rsidRPr="005E5054">
        <w:rPr>
          <w:color w:val="000000"/>
        </w:rPr>
        <w:t>kafetéria</w:t>
      </w:r>
      <w:proofErr w:type="spellEnd"/>
      <w:r w:rsidRPr="005E5054">
        <w:rPr>
          <w:color w:val="000000"/>
        </w:rPr>
        <w:t xml:space="preserve"> utalvány őrzése esetén a biztosító szolgáltatásának a feltétele, hogy a pénz, készpénz-helyettesítő fizetési eszköz vagy étkezési, illetve egyéb </w:t>
      </w:r>
      <w:proofErr w:type="spellStart"/>
      <w:r w:rsidRPr="005E5054">
        <w:rPr>
          <w:color w:val="000000"/>
        </w:rPr>
        <w:t>kafetéria</w:t>
      </w:r>
      <w:proofErr w:type="spellEnd"/>
      <w:r w:rsidRPr="005E5054">
        <w:rPr>
          <w:color w:val="000000"/>
        </w:rPr>
        <w:t xml:space="preserve"> utalvány a MABISZ által minősített értéktárolóban legyen elhelyezve.</w:t>
      </w:r>
    </w:p>
    <w:p w:rsidR="00072DA4" w:rsidRPr="005E5054" w:rsidRDefault="00072DA4" w:rsidP="00712C7E">
      <w:pPr>
        <w:ind w:left="709" w:hanging="709"/>
        <w:jc w:val="both"/>
      </w:pPr>
    </w:p>
    <w:sectPr w:rsidR="00072DA4" w:rsidRPr="005E5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23FC"/>
    <w:multiLevelType w:val="hybridMultilevel"/>
    <w:tmpl w:val="881E4EE2"/>
    <w:lvl w:ilvl="0" w:tplc="09B253A0">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D1A6DB2"/>
    <w:multiLevelType w:val="hybridMultilevel"/>
    <w:tmpl w:val="FF3EA5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17"/>
    <w:rsid w:val="00006D66"/>
    <w:rsid w:val="000421C4"/>
    <w:rsid w:val="00072DA4"/>
    <w:rsid w:val="00140225"/>
    <w:rsid w:val="002F55F3"/>
    <w:rsid w:val="00321CF5"/>
    <w:rsid w:val="003B3EA5"/>
    <w:rsid w:val="005410B5"/>
    <w:rsid w:val="00546AD5"/>
    <w:rsid w:val="00584895"/>
    <w:rsid w:val="005E5054"/>
    <w:rsid w:val="006A1817"/>
    <w:rsid w:val="00712C7E"/>
    <w:rsid w:val="007F3C46"/>
    <w:rsid w:val="0085309D"/>
    <w:rsid w:val="00873ACB"/>
    <w:rsid w:val="00882378"/>
    <w:rsid w:val="00996F92"/>
    <w:rsid w:val="00A5618B"/>
    <w:rsid w:val="00BA1654"/>
    <w:rsid w:val="00C231B3"/>
    <w:rsid w:val="00E405DA"/>
    <w:rsid w:val="00EB03D3"/>
    <w:rsid w:val="00FB42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1817"/>
    <w:pPr>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B4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1817"/>
    <w:pPr>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B4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9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4123</Characters>
  <Application>Microsoft Office Word</Application>
  <DocSecurity>4</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Generali-Providencia Zrt</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Szolyka Lilla</dc:creator>
  <cp:lastModifiedBy>Durda István</cp:lastModifiedBy>
  <cp:revision>2</cp:revision>
  <dcterms:created xsi:type="dcterms:W3CDTF">2015-03-30T13:01:00Z</dcterms:created>
  <dcterms:modified xsi:type="dcterms:W3CDTF">2015-03-30T13:01:00Z</dcterms:modified>
</cp:coreProperties>
</file>