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61" w:rsidRDefault="00E23161" w:rsidP="00CF012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E23161" w:rsidRDefault="00E23161" w:rsidP="00CF012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B5092" w:rsidRDefault="006B5092" w:rsidP="00CF012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4A6756" w:rsidRDefault="004A6756" w:rsidP="00CF012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</w:t>
      </w:r>
      <w:r w:rsidRPr="004A6756">
        <w:rPr>
          <w:b/>
          <w:bCs/>
          <w:sz w:val="22"/>
          <w:szCs w:val="22"/>
        </w:rPr>
        <w:t>Fundamenta-Lakáskassza Zrt.</w:t>
      </w:r>
      <w:r w:rsidR="005C4D9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HIRDETMÉNYE</w:t>
      </w:r>
    </w:p>
    <w:p w:rsidR="00203845" w:rsidRPr="00B030CD" w:rsidRDefault="009208D8" w:rsidP="00D50ED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030CD">
        <w:rPr>
          <w:b/>
          <w:bCs/>
          <w:sz w:val="22"/>
          <w:szCs w:val="22"/>
        </w:rPr>
        <w:t>A 2013</w:t>
      </w:r>
      <w:r w:rsidR="004A6756" w:rsidRPr="00B030CD">
        <w:rPr>
          <w:b/>
          <w:bCs/>
          <w:sz w:val="22"/>
          <w:szCs w:val="22"/>
        </w:rPr>
        <w:t>.</w:t>
      </w:r>
      <w:r w:rsidR="00387997" w:rsidRPr="00B030CD">
        <w:rPr>
          <w:b/>
          <w:bCs/>
          <w:sz w:val="22"/>
          <w:szCs w:val="22"/>
        </w:rPr>
        <w:t>06</w:t>
      </w:r>
      <w:r w:rsidR="004A6756" w:rsidRPr="00B030CD">
        <w:rPr>
          <w:b/>
          <w:bCs/>
          <w:sz w:val="22"/>
          <w:szCs w:val="22"/>
        </w:rPr>
        <w:t>.</w:t>
      </w:r>
      <w:r w:rsidR="00387997" w:rsidRPr="00B030CD">
        <w:rPr>
          <w:b/>
          <w:bCs/>
          <w:sz w:val="22"/>
          <w:szCs w:val="22"/>
        </w:rPr>
        <w:t>20</w:t>
      </w:r>
      <w:r w:rsidR="004A6756" w:rsidRPr="00B030CD">
        <w:rPr>
          <w:b/>
          <w:bCs/>
          <w:sz w:val="22"/>
          <w:szCs w:val="22"/>
        </w:rPr>
        <w:t>-t</w:t>
      </w:r>
      <w:r w:rsidR="00387997" w:rsidRPr="00B030CD">
        <w:rPr>
          <w:b/>
          <w:bCs/>
          <w:sz w:val="22"/>
          <w:szCs w:val="22"/>
        </w:rPr>
        <w:t>ó</w:t>
      </w:r>
      <w:r w:rsidR="004A6756" w:rsidRPr="00B030CD">
        <w:rPr>
          <w:b/>
          <w:bCs/>
          <w:sz w:val="22"/>
          <w:szCs w:val="22"/>
        </w:rPr>
        <w:t>l 201</w:t>
      </w:r>
      <w:r w:rsidRPr="00B030CD">
        <w:rPr>
          <w:b/>
          <w:bCs/>
          <w:sz w:val="22"/>
          <w:szCs w:val="22"/>
        </w:rPr>
        <w:t>3</w:t>
      </w:r>
      <w:r w:rsidR="004A6756" w:rsidRPr="00B030CD">
        <w:rPr>
          <w:b/>
          <w:bCs/>
          <w:sz w:val="22"/>
          <w:szCs w:val="22"/>
        </w:rPr>
        <w:t>.</w:t>
      </w:r>
      <w:r w:rsidR="00387997" w:rsidRPr="00B030CD">
        <w:rPr>
          <w:b/>
          <w:bCs/>
          <w:sz w:val="22"/>
          <w:szCs w:val="22"/>
        </w:rPr>
        <w:t>08</w:t>
      </w:r>
      <w:r w:rsidR="004A6756" w:rsidRPr="00B030CD">
        <w:rPr>
          <w:b/>
          <w:bCs/>
          <w:sz w:val="22"/>
          <w:szCs w:val="22"/>
        </w:rPr>
        <w:t>.</w:t>
      </w:r>
      <w:r w:rsidR="00387997" w:rsidRPr="00B030CD">
        <w:rPr>
          <w:b/>
          <w:bCs/>
          <w:sz w:val="22"/>
          <w:szCs w:val="22"/>
        </w:rPr>
        <w:t>15</w:t>
      </w:r>
      <w:r w:rsidR="004A6756" w:rsidRPr="00B030CD">
        <w:rPr>
          <w:b/>
          <w:bCs/>
          <w:sz w:val="22"/>
          <w:szCs w:val="22"/>
        </w:rPr>
        <w:t xml:space="preserve">-ig megkötött </w:t>
      </w:r>
    </w:p>
    <w:p w:rsidR="004A6756" w:rsidRDefault="004A6756" w:rsidP="00D50ED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lakás-előtakarékossági szerződése</w:t>
      </w:r>
      <w:r w:rsidR="00C42563">
        <w:rPr>
          <w:b/>
          <w:bCs/>
          <w:sz w:val="22"/>
          <w:szCs w:val="22"/>
        </w:rPr>
        <w:t>k</w:t>
      </w:r>
      <w:r>
        <w:rPr>
          <w:b/>
          <w:bCs/>
          <w:sz w:val="22"/>
          <w:szCs w:val="22"/>
        </w:rPr>
        <w:t>re alkalmazott</w:t>
      </w:r>
    </w:p>
    <w:p w:rsidR="00F54FFC" w:rsidRDefault="00F54FFC" w:rsidP="00D50ED2">
      <w:pPr>
        <w:jc w:val="center"/>
        <w:rPr>
          <w:b/>
          <w:bCs/>
          <w:sz w:val="22"/>
          <w:szCs w:val="22"/>
        </w:rPr>
      </w:pPr>
    </w:p>
    <w:p w:rsidR="00792372" w:rsidRPr="006E54B2" w:rsidRDefault="00611255" w:rsidP="00D50ED2">
      <w:pPr>
        <w:jc w:val="center"/>
        <w:rPr>
          <w:b/>
          <w:bCs/>
          <w:sz w:val="36"/>
          <w:szCs w:val="36"/>
        </w:rPr>
      </w:pPr>
      <w:r w:rsidRPr="006E54B2">
        <w:rPr>
          <w:b/>
          <w:bCs/>
          <w:sz w:val="36"/>
          <w:szCs w:val="36"/>
        </w:rPr>
        <w:t xml:space="preserve">DUPLÁZÓ </w:t>
      </w:r>
      <w:r w:rsidR="00CE7337" w:rsidRPr="006E54B2">
        <w:rPr>
          <w:b/>
          <w:bCs/>
          <w:sz w:val="36"/>
          <w:szCs w:val="36"/>
        </w:rPr>
        <w:t xml:space="preserve">BÓNUSZ </w:t>
      </w:r>
      <w:r w:rsidR="00B6776C" w:rsidRPr="006E54B2">
        <w:rPr>
          <w:b/>
          <w:bCs/>
          <w:sz w:val="36"/>
          <w:szCs w:val="36"/>
        </w:rPr>
        <w:t>AKCIÓRÓL</w:t>
      </w:r>
    </w:p>
    <w:p w:rsidR="00792372" w:rsidRDefault="00F44751" w:rsidP="00D50ED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E23161" w:rsidRDefault="00E23161" w:rsidP="00744D47">
      <w:pPr>
        <w:jc w:val="both"/>
        <w:rPr>
          <w:bCs/>
          <w:sz w:val="22"/>
          <w:szCs w:val="22"/>
        </w:rPr>
      </w:pPr>
    </w:p>
    <w:p w:rsidR="006B5092" w:rsidRDefault="006B5092" w:rsidP="00744D47">
      <w:pPr>
        <w:jc w:val="both"/>
        <w:rPr>
          <w:bCs/>
          <w:sz w:val="22"/>
          <w:szCs w:val="22"/>
        </w:rPr>
      </w:pPr>
    </w:p>
    <w:p w:rsidR="0000734D" w:rsidRDefault="0000734D" w:rsidP="00744D4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Tájékoztatjuk</w:t>
      </w:r>
      <w:r w:rsidR="00C42563">
        <w:rPr>
          <w:bCs/>
          <w:sz w:val="22"/>
          <w:szCs w:val="22"/>
        </w:rPr>
        <w:t xml:space="preserve"> </w:t>
      </w:r>
      <w:r w:rsidR="001C167E">
        <w:rPr>
          <w:bCs/>
          <w:sz w:val="22"/>
          <w:szCs w:val="22"/>
        </w:rPr>
        <w:t>T</w:t>
      </w:r>
      <w:r w:rsidR="00C42563">
        <w:rPr>
          <w:bCs/>
          <w:sz w:val="22"/>
          <w:szCs w:val="22"/>
        </w:rPr>
        <w:t>isztelt Ügyfeleinket</w:t>
      </w:r>
      <w:r>
        <w:rPr>
          <w:bCs/>
          <w:sz w:val="22"/>
          <w:szCs w:val="22"/>
        </w:rPr>
        <w:t xml:space="preserve">, hogy </w:t>
      </w:r>
      <w:r w:rsidR="00526781">
        <w:rPr>
          <w:bCs/>
          <w:sz w:val="22"/>
          <w:szCs w:val="22"/>
        </w:rPr>
        <w:t xml:space="preserve">a </w:t>
      </w:r>
      <w:r w:rsidR="00526781" w:rsidRPr="00526781">
        <w:rPr>
          <w:bCs/>
          <w:sz w:val="22"/>
          <w:szCs w:val="22"/>
        </w:rPr>
        <w:t>Fundamenta-Lakáskassza Zrt.</w:t>
      </w:r>
      <w:r w:rsidR="006D5EA8">
        <w:rPr>
          <w:bCs/>
          <w:sz w:val="22"/>
          <w:szCs w:val="22"/>
        </w:rPr>
        <w:t xml:space="preserve"> a</w:t>
      </w:r>
      <w:r w:rsidR="0052678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201</w:t>
      </w:r>
      <w:r w:rsidR="009208D8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.</w:t>
      </w:r>
      <w:r w:rsidR="009208D8">
        <w:rPr>
          <w:bCs/>
          <w:sz w:val="22"/>
          <w:szCs w:val="22"/>
        </w:rPr>
        <w:t>0</w:t>
      </w:r>
      <w:r w:rsidR="00410A32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>.</w:t>
      </w:r>
      <w:r w:rsidR="00410A32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>-t</w:t>
      </w:r>
      <w:r w:rsidR="00410A32">
        <w:rPr>
          <w:bCs/>
          <w:sz w:val="22"/>
          <w:szCs w:val="22"/>
        </w:rPr>
        <w:t>ó</w:t>
      </w:r>
      <w:r>
        <w:rPr>
          <w:bCs/>
          <w:sz w:val="22"/>
          <w:szCs w:val="22"/>
        </w:rPr>
        <w:t xml:space="preserve">l </w:t>
      </w:r>
      <w:r w:rsidR="004A6756">
        <w:rPr>
          <w:bCs/>
          <w:sz w:val="22"/>
          <w:szCs w:val="22"/>
        </w:rPr>
        <w:t>201</w:t>
      </w:r>
      <w:r w:rsidR="009208D8">
        <w:rPr>
          <w:bCs/>
          <w:sz w:val="22"/>
          <w:szCs w:val="22"/>
        </w:rPr>
        <w:t>3</w:t>
      </w:r>
      <w:r w:rsidR="004A6756">
        <w:rPr>
          <w:bCs/>
          <w:sz w:val="22"/>
          <w:szCs w:val="22"/>
        </w:rPr>
        <w:t>.</w:t>
      </w:r>
      <w:r w:rsidR="009208D8">
        <w:rPr>
          <w:bCs/>
          <w:sz w:val="22"/>
          <w:szCs w:val="22"/>
        </w:rPr>
        <w:t>0</w:t>
      </w:r>
      <w:r w:rsidR="00410A32">
        <w:rPr>
          <w:bCs/>
          <w:sz w:val="22"/>
          <w:szCs w:val="22"/>
        </w:rPr>
        <w:t>8</w:t>
      </w:r>
      <w:r w:rsidR="004A6756">
        <w:rPr>
          <w:bCs/>
          <w:sz w:val="22"/>
          <w:szCs w:val="22"/>
        </w:rPr>
        <w:t>.</w:t>
      </w:r>
      <w:r w:rsidR="00410A32">
        <w:rPr>
          <w:bCs/>
          <w:sz w:val="22"/>
          <w:szCs w:val="22"/>
        </w:rPr>
        <w:t>15</w:t>
      </w:r>
      <w:r w:rsidR="004A6756">
        <w:rPr>
          <w:bCs/>
          <w:sz w:val="22"/>
          <w:szCs w:val="22"/>
        </w:rPr>
        <w:t>-ig</w:t>
      </w:r>
      <w:r>
        <w:rPr>
          <w:bCs/>
          <w:sz w:val="22"/>
          <w:szCs w:val="22"/>
        </w:rPr>
        <w:t xml:space="preserve"> újonnan megkötött lakás-előtakarékossági szerződések</w:t>
      </w:r>
      <w:r w:rsidR="00A036E4">
        <w:rPr>
          <w:bCs/>
          <w:sz w:val="22"/>
          <w:szCs w:val="22"/>
        </w:rPr>
        <w:t>re</w:t>
      </w:r>
      <w:r w:rsidR="008011E0">
        <w:rPr>
          <w:bCs/>
          <w:sz w:val="22"/>
          <w:szCs w:val="22"/>
        </w:rPr>
        <w:t xml:space="preserve"> </w:t>
      </w:r>
      <w:r w:rsidR="00B6776C">
        <w:rPr>
          <w:bCs/>
          <w:sz w:val="22"/>
          <w:szCs w:val="22"/>
        </w:rPr>
        <w:t xml:space="preserve">az első megtakarítási évre </w:t>
      </w:r>
      <w:r w:rsidR="00CE7337" w:rsidRPr="007F37C5">
        <w:rPr>
          <w:b/>
          <w:bCs/>
          <w:sz w:val="22"/>
          <w:szCs w:val="22"/>
        </w:rPr>
        <w:t xml:space="preserve">DUPLÁZÓ </w:t>
      </w:r>
      <w:proofErr w:type="gramStart"/>
      <w:r w:rsidR="00CE7337" w:rsidRPr="007F37C5">
        <w:rPr>
          <w:b/>
          <w:bCs/>
          <w:sz w:val="22"/>
          <w:szCs w:val="22"/>
        </w:rPr>
        <w:t>BÓNUSZT</w:t>
      </w:r>
      <w:r w:rsidR="00CE7337">
        <w:rPr>
          <w:bCs/>
          <w:sz w:val="22"/>
          <w:szCs w:val="22"/>
        </w:rPr>
        <w:t xml:space="preserve">  </w:t>
      </w:r>
      <w:r w:rsidR="00B6776C">
        <w:rPr>
          <w:bCs/>
          <w:sz w:val="22"/>
          <w:szCs w:val="22"/>
        </w:rPr>
        <w:t>ír</w:t>
      </w:r>
      <w:proofErr w:type="gramEnd"/>
      <w:r w:rsidR="00B6776C">
        <w:rPr>
          <w:bCs/>
          <w:sz w:val="22"/>
          <w:szCs w:val="22"/>
        </w:rPr>
        <w:t xml:space="preserve"> jóvá</w:t>
      </w:r>
      <w:r w:rsidR="00A036E4">
        <w:rPr>
          <w:bCs/>
          <w:sz w:val="22"/>
          <w:szCs w:val="22"/>
        </w:rPr>
        <w:t xml:space="preserve"> </w:t>
      </w:r>
      <w:r w:rsidR="00BB7EA1">
        <w:rPr>
          <w:bCs/>
          <w:sz w:val="22"/>
          <w:szCs w:val="22"/>
        </w:rPr>
        <w:t xml:space="preserve">a jelen Hirdetmény szerinti </w:t>
      </w:r>
      <w:r w:rsidR="00A036E4">
        <w:rPr>
          <w:bCs/>
          <w:sz w:val="22"/>
          <w:szCs w:val="22"/>
        </w:rPr>
        <w:t>akciós feltételek teljesülése esetén</w:t>
      </w:r>
      <w:r w:rsidR="008011E0">
        <w:rPr>
          <w:bCs/>
          <w:sz w:val="22"/>
          <w:szCs w:val="22"/>
        </w:rPr>
        <w:t xml:space="preserve">. </w:t>
      </w:r>
      <w:r w:rsidR="000C6FAD" w:rsidRPr="00C8536C">
        <w:rPr>
          <w:bCs/>
          <w:sz w:val="22"/>
          <w:szCs w:val="22"/>
        </w:rPr>
        <w:t>Az akció részletes feltételei a következők:</w:t>
      </w:r>
    </w:p>
    <w:p w:rsidR="0000734D" w:rsidRDefault="0000734D" w:rsidP="00D50ED2">
      <w:pPr>
        <w:jc w:val="both"/>
        <w:rPr>
          <w:b/>
          <w:bCs/>
          <w:sz w:val="22"/>
          <w:szCs w:val="22"/>
        </w:rPr>
      </w:pPr>
    </w:p>
    <w:p w:rsidR="00F54FFC" w:rsidRDefault="00F54FFC" w:rsidP="00D50ED2">
      <w:pPr>
        <w:jc w:val="both"/>
        <w:rPr>
          <w:b/>
          <w:bCs/>
          <w:sz w:val="22"/>
          <w:szCs w:val="22"/>
        </w:rPr>
      </w:pPr>
    </w:p>
    <w:p w:rsidR="0000734D" w:rsidRDefault="00E40D4D" w:rsidP="00D50ED2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Az akció valamennyi, a </w:t>
      </w:r>
      <w:r w:rsidR="00B227EB">
        <w:rPr>
          <w:bCs/>
          <w:sz w:val="22"/>
          <w:szCs w:val="22"/>
        </w:rPr>
        <w:t xml:space="preserve">jelen </w:t>
      </w:r>
      <w:r>
        <w:rPr>
          <w:bCs/>
          <w:sz w:val="22"/>
          <w:szCs w:val="22"/>
        </w:rPr>
        <w:t xml:space="preserve">hirdetmény </w:t>
      </w:r>
      <w:r w:rsidRPr="00141BF6">
        <w:rPr>
          <w:b/>
          <w:bCs/>
          <w:sz w:val="22"/>
          <w:szCs w:val="22"/>
        </w:rPr>
        <w:t xml:space="preserve">érvényességi ideje alatt </w:t>
      </w:r>
      <w:r w:rsidR="00C42563">
        <w:rPr>
          <w:bCs/>
          <w:sz w:val="22"/>
          <w:szCs w:val="22"/>
        </w:rPr>
        <w:t>bármely lakás-előtakarékoskodó</w:t>
      </w:r>
      <w:r w:rsidR="00335257">
        <w:rPr>
          <w:bCs/>
          <w:sz w:val="22"/>
          <w:szCs w:val="22"/>
        </w:rPr>
        <w:t xml:space="preserve"> </w:t>
      </w:r>
      <w:r w:rsidR="00C42563">
        <w:rPr>
          <w:bCs/>
          <w:sz w:val="22"/>
          <w:szCs w:val="22"/>
        </w:rPr>
        <w:t xml:space="preserve">(szerződő) </w:t>
      </w:r>
      <w:r w:rsidR="00335257">
        <w:rPr>
          <w:bCs/>
          <w:sz w:val="22"/>
          <w:szCs w:val="22"/>
        </w:rPr>
        <w:t xml:space="preserve">által </w:t>
      </w:r>
      <w:r w:rsidR="00387997">
        <w:rPr>
          <w:bCs/>
          <w:sz w:val="22"/>
          <w:szCs w:val="22"/>
        </w:rPr>
        <w:t xml:space="preserve">minimálisan 8 megtakarítási évre </w:t>
      </w:r>
      <w:r w:rsidRPr="00141BF6">
        <w:rPr>
          <w:b/>
          <w:bCs/>
          <w:sz w:val="22"/>
          <w:szCs w:val="22"/>
        </w:rPr>
        <w:t>kötött</w:t>
      </w:r>
      <w:r w:rsidR="006D5EA8">
        <w:rPr>
          <w:b/>
          <w:bCs/>
          <w:sz w:val="22"/>
          <w:szCs w:val="22"/>
        </w:rPr>
        <w:t xml:space="preserve"> </w:t>
      </w:r>
      <w:r w:rsidR="00B6776C">
        <w:rPr>
          <w:b/>
          <w:bCs/>
          <w:sz w:val="22"/>
          <w:szCs w:val="22"/>
        </w:rPr>
        <w:t xml:space="preserve">6-os és </w:t>
      </w:r>
      <w:r w:rsidR="0000734D" w:rsidRPr="00141BF6">
        <w:rPr>
          <w:b/>
          <w:bCs/>
          <w:sz w:val="22"/>
          <w:szCs w:val="22"/>
        </w:rPr>
        <w:t>8-as</w:t>
      </w:r>
      <w:r w:rsidR="00387997">
        <w:rPr>
          <w:b/>
          <w:bCs/>
          <w:sz w:val="22"/>
          <w:szCs w:val="22"/>
        </w:rPr>
        <w:t xml:space="preserve"> </w:t>
      </w:r>
      <w:r w:rsidR="00CE7337">
        <w:rPr>
          <w:b/>
          <w:bCs/>
          <w:sz w:val="22"/>
          <w:szCs w:val="22"/>
        </w:rPr>
        <w:t xml:space="preserve">módozatú </w:t>
      </w:r>
      <w:r w:rsidR="000C6FAD">
        <w:rPr>
          <w:b/>
          <w:bCs/>
          <w:sz w:val="22"/>
          <w:szCs w:val="22"/>
        </w:rPr>
        <w:t>lakás</w:t>
      </w:r>
      <w:r w:rsidR="00C42563">
        <w:rPr>
          <w:b/>
          <w:bCs/>
          <w:sz w:val="22"/>
          <w:szCs w:val="22"/>
        </w:rPr>
        <w:t>-</w:t>
      </w:r>
      <w:r w:rsidR="000C6FAD">
        <w:rPr>
          <w:b/>
          <w:bCs/>
          <w:sz w:val="22"/>
          <w:szCs w:val="22"/>
        </w:rPr>
        <w:t xml:space="preserve">előtakarékossági </w:t>
      </w:r>
      <w:r w:rsidR="0000734D" w:rsidRPr="00141BF6">
        <w:rPr>
          <w:b/>
          <w:bCs/>
          <w:sz w:val="22"/>
          <w:szCs w:val="22"/>
        </w:rPr>
        <w:t>szerződésre</w:t>
      </w:r>
      <w:r w:rsidR="00141BF6">
        <w:rPr>
          <w:bCs/>
          <w:sz w:val="22"/>
          <w:szCs w:val="22"/>
        </w:rPr>
        <w:t xml:space="preserve"> érvényes</w:t>
      </w:r>
      <w:r w:rsidR="00EC5E77">
        <w:rPr>
          <w:bCs/>
          <w:sz w:val="22"/>
          <w:szCs w:val="22"/>
        </w:rPr>
        <w:t>, ide nem értve a</w:t>
      </w:r>
      <w:r w:rsidR="005165C8">
        <w:rPr>
          <w:bCs/>
          <w:sz w:val="22"/>
          <w:szCs w:val="22"/>
        </w:rPr>
        <w:t xml:space="preserve"> </w:t>
      </w:r>
      <w:r w:rsidR="00F54FFC">
        <w:rPr>
          <w:bCs/>
          <w:sz w:val="22"/>
          <w:szCs w:val="22"/>
        </w:rPr>
        <w:t xml:space="preserve">4. </w:t>
      </w:r>
      <w:r w:rsidR="005165C8">
        <w:rPr>
          <w:bCs/>
          <w:sz w:val="22"/>
          <w:szCs w:val="22"/>
        </w:rPr>
        <w:t>pont szerint megjelölt szerződéseke</w:t>
      </w:r>
      <w:r w:rsidR="00EC5E77">
        <w:rPr>
          <w:bCs/>
          <w:sz w:val="22"/>
          <w:szCs w:val="22"/>
        </w:rPr>
        <w:t>t, amelyek az akcióban nem vesznek részt.</w:t>
      </w:r>
      <w:r w:rsidR="005165C8">
        <w:rPr>
          <w:bCs/>
          <w:sz w:val="22"/>
          <w:szCs w:val="22"/>
        </w:rPr>
        <w:t xml:space="preserve"> </w:t>
      </w:r>
      <w:r w:rsidR="000C6FAD">
        <w:rPr>
          <w:bCs/>
          <w:sz w:val="22"/>
          <w:szCs w:val="22"/>
        </w:rPr>
        <w:t xml:space="preserve">Az akcióban azok a szerződések vesznek részt, amelyeknél a </w:t>
      </w:r>
      <w:r w:rsidR="00C42563">
        <w:rPr>
          <w:bCs/>
          <w:sz w:val="22"/>
          <w:szCs w:val="22"/>
        </w:rPr>
        <w:t xml:space="preserve">szerződő </w:t>
      </w:r>
      <w:r w:rsidR="000C6FAD">
        <w:rPr>
          <w:bCs/>
          <w:sz w:val="22"/>
          <w:szCs w:val="22"/>
        </w:rPr>
        <w:t xml:space="preserve">a szerződés megkötésére irányuló írásbeli ajánlatát </w:t>
      </w:r>
      <w:r w:rsidR="00AE428A">
        <w:rPr>
          <w:bCs/>
          <w:sz w:val="22"/>
          <w:szCs w:val="22"/>
        </w:rPr>
        <w:t>(az ajánlati nyomtatvány aláírásának</w:t>
      </w:r>
      <w:r w:rsidR="005165C8">
        <w:rPr>
          <w:bCs/>
          <w:sz w:val="22"/>
          <w:szCs w:val="22"/>
        </w:rPr>
        <w:t xml:space="preserve"> a</w:t>
      </w:r>
      <w:r w:rsidR="00AE428A">
        <w:rPr>
          <w:bCs/>
          <w:sz w:val="22"/>
          <w:szCs w:val="22"/>
        </w:rPr>
        <w:t xml:space="preserve"> napja) </w:t>
      </w:r>
      <w:r w:rsidR="000C6FAD">
        <w:rPr>
          <w:bCs/>
          <w:sz w:val="22"/>
          <w:szCs w:val="22"/>
        </w:rPr>
        <w:t xml:space="preserve">az akció időtartamán belül </w:t>
      </w:r>
      <w:r w:rsidR="00C42563">
        <w:rPr>
          <w:bCs/>
          <w:sz w:val="22"/>
          <w:szCs w:val="22"/>
        </w:rPr>
        <w:t xml:space="preserve">tette meg, </w:t>
      </w:r>
      <w:r w:rsidR="000C6FAD">
        <w:rPr>
          <w:bCs/>
          <w:sz w:val="22"/>
          <w:szCs w:val="22"/>
        </w:rPr>
        <w:t>ideértve a határnapokat is.</w:t>
      </w:r>
    </w:p>
    <w:p w:rsidR="00D50ED2" w:rsidRDefault="00D50ED2" w:rsidP="00D50ED2">
      <w:pPr>
        <w:ind w:left="720"/>
        <w:jc w:val="both"/>
        <w:rPr>
          <w:bCs/>
          <w:sz w:val="22"/>
          <w:szCs w:val="22"/>
        </w:rPr>
      </w:pPr>
    </w:p>
    <w:p w:rsidR="00B76105" w:rsidRDefault="00B76105" w:rsidP="00B76105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</w:t>
      </w:r>
      <w:r w:rsidRPr="00CE7337">
        <w:rPr>
          <w:b/>
          <w:bCs/>
          <w:sz w:val="22"/>
          <w:szCs w:val="22"/>
        </w:rPr>
        <w:t>DUPLÁZÓ bónusz</w:t>
      </w:r>
      <w:r w:rsidRPr="008222EB">
        <w:rPr>
          <w:b/>
          <w:bCs/>
          <w:sz w:val="22"/>
          <w:szCs w:val="22"/>
        </w:rPr>
        <w:t xml:space="preserve"> összege</w:t>
      </w:r>
      <w:r>
        <w:rPr>
          <w:bCs/>
          <w:sz w:val="22"/>
          <w:szCs w:val="22"/>
        </w:rPr>
        <w:t xml:space="preserve"> egyenlő a lakás-előtakarékossági szerződés első megtakarítási évére megigényelt és</w:t>
      </w:r>
      <w:r w:rsidR="00EC5E77">
        <w:rPr>
          <w:bCs/>
          <w:sz w:val="22"/>
          <w:szCs w:val="22"/>
        </w:rPr>
        <w:t xml:space="preserve"> a lakás-előtakarékossági szerződésen</w:t>
      </w:r>
      <w:r w:rsidR="005165C8">
        <w:rPr>
          <w:bCs/>
          <w:sz w:val="22"/>
          <w:szCs w:val="22"/>
        </w:rPr>
        <w:t xml:space="preserve"> ténylegesen</w:t>
      </w:r>
      <w:r>
        <w:rPr>
          <w:bCs/>
          <w:sz w:val="22"/>
          <w:szCs w:val="22"/>
        </w:rPr>
        <w:t xml:space="preserve"> jóváírt állami támogatás összegével. </w:t>
      </w:r>
    </w:p>
    <w:p w:rsidR="00B76105" w:rsidRDefault="00B76105" w:rsidP="00B76105">
      <w:pPr>
        <w:pStyle w:val="Listaszerbekezds"/>
        <w:rPr>
          <w:bCs/>
          <w:sz w:val="22"/>
          <w:szCs w:val="22"/>
        </w:rPr>
      </w:pPr>
    </w:p>
    <w:p w:rsidR="0000734D" w:rsidRPr="00D50ED2" w:rsidRDefault="0000734D" w:rsidP="006E54B2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="008011E0">
        <w:rPr>
          <w:bCs/>
          <w:sz w:val="22"/>
          <w:szCs w:val="22"/>
        </w:rPr>
        <w:t xml:space="preserve"> </w:t>
      </w:r>
      <w:r w:rsidR="00CE7337">
        <w:rPr>
          <w:b/>
          <w:bCs/>
          <w:sz w:val="22"/>
          <w:szCs w:val="22"/>
        </w:rPr>
        <w:t xml:space="preserve">DUPLÁZÓ bónusz </w:t>
      </w:r>
      <w:r w:rsidRPr="00141BF6">
        <w:rPr>
          <w:b/>
          <w:bCs/>
          <w:sz w:val="22"/>
          <w:szCs w:val="22"/>
        </w:rPr>
        <w:t xml:space="preserve">jóváírásának </w:t>
      </w:r>
      <w:r w:rsidR="00C42563">
        <w:rPr>
          <w:b/>
          <w:bCs/>
          <w:sz w:val="22"/>
          <w:szCs w:val="22"/>
        </w:rPr>
        <w:t xml:space="preserve">és </w:t>
      </w:r>
      <w:r w:rsidR="000C6FAD">
        <w:rPr>
          <w:b/>
          <w:bCs/>
          <w:sz w:val="22"/>
          <w:szCs w:val="22"/>
        </w:rPr>
        <w:t xml:space="preserve">kifizetésének </w:t>
      </w:r>
      <w:r w:rsidR="00681DAD">
        <w:rPr>
          <w:b/>
          <w:bCs/>
          <w:sz w:val="22"/>
          <w:szCs w:val="22"/>
        </w:rPr>
        <w:t xml:space="preserve">további </w:t>
      </w:r>
      <w:r w:rsidRPr="00141BF6">
        <w:rPr>
          <w:b/>
          <w:bCs/>
          <w:sz w:val="22"/>
          <w:szCs w:val="22"/>
        </w:rPr>
        <w:t>feltétele</w:t>
      </w:r>
      <w:r>
        <w:rPr>
          <w:bCs/>
          <w:sz w:val="22"/>
          <w:szCs w:val="22"/>
        </w:rPr>
        <w:t xml:space="preserve">, hogy a megkötött lakás-előtakarékossági szerződés </w:t>
      </w:r>
      <w:r w:rsidR="00CE7337">
        <w:rPr>
          <w:bCs/>
          <w:sz w:val="22"/>
          <w:szCs w:val="22"/>
        </w:rPr>
        <w:t>módozat</w:t>
      </w:r>
      <w:r w:rsidR="00387997">
        <w:rPr>
          <w:bCs/>
          <w:sz w:val="22"/>
          <w:szCs w:val="22"/>
        </w:rPr>
        <w:t>á</w:t>
      </w:r>
      <w:r w:rsidR="00CE7337">
        <w:rPr>
          <w:bCs/>
          <w:sz w:val="22"/>
          <w:szCs w:val="22"/>
        </w:rPr>
        <w:t>hoz tartozó minimális megtakarítási idő elérésével</w:t>
      </w:r>
      <w:r w:rsidR="00B76105">
        <w:rPr>
          <w:bCs/>
          <w:sz w:val="22"/>
          <w:szCs w:val="22"/>
        </w:rPr>
        <w:t>,</w:t>
      </w:r>
      <w:r w:rsidR="00CE7337">
        <w:rPr>
          <w:bCs/>
          <w:sz w:val="22"/>
          <w:szCs w:val="22"/>
        </w:rPr>
        <w:t xml:space="preserve"> </w:t>
      </w:r>
      <w:r w:rsidR="00387997">
        <w:rPr>
          <w:bCs/>
          <w:sz w:val="22"/>
          <w:szCs w:val="22"/>
        </w:rPr>
        <w:t xml:space="preserve">legkorábban </w:t>
      </w:r>
      <w:r w:rsidR="00830654">
        <w:rPr>
          <w:bCs/>
          <w:sz w:val="22"/>
          <w:szCs w:val="22"/>
        </w:rPr>
        <w:t xml:space="preserve">8 megtakarítási év után, </w:t>
      </w:r>
      <w:r w:rsidR="00CE7337">
        <w:rPr>
          <w:bCs/>
          <w:sz w:val="22"/>
          <w:szCs w:val="22"/>
        </w:rPr>
        <w:t xml:space="preserve">de </w:t>
      </w:r>
      <w:r w:rsidR="002C1B29">
        <w:rPr>
          <w:bCs/>
          <w:sz w:val="22"/>
          <w:szCs w:val="22"/>
        </w:rPr>
        <w:t xml:space="preserve">maximum 12 megtakarítási éven belül </w:t>
      </w:r>
      <w:r w:rsidRPr="00141BF6">
        <w:rPr>
          <w:b/>
          <w:bCs/>
          <w:sz w:val="22"/>
          <w:szCs w:val="22"/>
        </w:rPr>
        <w:t>kiutalás</w:t>
      </w:r>
      <w:r w:rsidR="00C42563">
        <w:rPr>
          <w:b/>
          <w:bCs/>
          <w:sz w:val="22"/>
          <w:szCs w:val="22"/>
        </w:rPr>
        <w:t xml:space="preserve">ra </w:t>
      </w:r>
      <w:proofErr w:type="gramStart"/>
      <w:r w:rsidR="00C42563">
        <w:rPr>
          <w:b/>
          <w:bCs/>
          <w:sz w:val="22"/>
          <w:szCs w:val="22"/>
        </w:rPr>
        <w:t>kerüljön</w:t>
      </w:r>
      <w:r w:rsidR="004A6756">
        <w:rPr>
          <w:rStyle w:val="Lbjegyzet-hivatkozs"/>
          <w:b/>
          <w:bCs/>
          <w:sz w:val="22"/>
          <w:szCs w:val="22"/>
        </w:rPr>
        <w:footnoteReference w:id="1"/>
      </w:r>
      <w:r w:rsidR="00D50ED2">
        <w:rPr>
          <w:b/>
          <w:bCs/>
          <w:sz w:val="22"/>
          <w:szCs w:val="22"/>
        </w:rPr>
        <w:t>.</w:t>
      </w:r>
      <w:proofErr w:type="gramEnd"/>
    </w:p>
    <w:p w:rsidR="00D50ED2" w:rsidRDefault="00D50ED2" w:rsidP="00D50ED2">
      <w:pPr>
        <w:ind w:left="720"/>
        <w:jc w:val="both"/>
        <w:rPr>
          <w:bCs/>
          <w:sz w:val="22"/>
          <w:szCs w:val="22"/>
        </w:rPr>
      </w:pPr>
    </w:p>
    <w:p w:rsidR="00D22B0B" w:rsidRDefault="00A363AA" w:rsidP="006E54B2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="008222EB">
        <w:rPr>
          <w:bCs/>
          <w:sz w:val="22"/>
          <w:szCs w:val="22"/>
        </w:rPr>
        <w:t xml:space="preserve"> </w:t>
      </w:r>
      <w:r w:rsidR="00CE7337">
        <w:rPr>
          <w:bCs/>
          <w:sz w:val="22"/>
          <w:szCs w:val="22"/>
        </w:rPr>
        <w:t xml:space="preserve">DUPLÁZÓ bónusz </w:t>
      </w:r>
      <w:r w:rsidR="005F6A2D">
        <w:rPr>
          <w:b/>
          <w:bCs/>
          <w:sz w:val="22"/>
          <w:szCs w:val="22"/>
        </w:rPr>
        <w:t xml:space="preserve">nem jár </w:t>
      </w:r>
      <w:r>
        <w:rPr>
          <w:bCs/>
          <w:sz w:val="22"/>
          <w:szCs w:val="22"/>
        </w:rPr>
        <w:t>azon szerződés</w:t>
      </w:r>
      <w:r w:rsidR="00C42563">
        <w:rPr>
          <w:bCs/>
          <w:sz w:val="22"/>
          <w:szCs w:val="22"/>
        </w:rPr>
        <w:t>ek</w:t>
      </w:r>
      <w:r w:rsidR="005F6A2D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 xml:space="preserve">e, </w:t>
      </w:r>
    </w:p>
    <w:p w:rsidR="00D22B0B" w:rsidRDefault="00D22B0B" w:rsidP="00C8536C">
      <w:pPr>
        <w:pStyle w:val="Listaszerbekezds"/>
        <w:rPr>
          <w:bCs/>
          <w:sz w:val="22"/>
          <w:szCs w:val="22"/>
        </w:rPr>
      </w:pPr>
    </w:p>
    <w:p w:rsidR="00D22B0B" w:rsidRDefault="00A363AA" w:rsidP="00C8536C">
      <w:pPr>
        <w:numPr>
          <w:ilvl w:val="0"/>
          <w:numId w:val="1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amely</w:t>
      </w:r>
      <w:r w:rsidR="00C42563">
        <w:rPr>
          <w:bCs/>
          <w:sz w:val="22"/>
          <w:szCs w:val="22"/>
        </w:rPr>
        <w:t>ek</w:t>
      </w:r>
      <w:r>
        <w:rPr>
          <w:bCs/>
          <w:sz w:val="22"/>
          <w:szCs w:val="22"/>
        </w:rPr>
        <w:t xml:space="preserve"> a </w:t>
      </w:r>
      <w:r w:rsidRPr="00D40007">
        <w:rPr>
          <w:b/>
          <w:bCs/>
          <w:sz w:val="22"/>
          <w:szCs w:val="22"/>
        </w:rPr>
        <w:t>fentiekben leírt feltételeknek nem felel</w:t>
      </w:r>
      <w:r w:rsidR="00C42563">
        <w:rPr>
          <w:b/>
          <w:bCs/>
          <w:sz w:val="22"/>
          <w:szCs w:val="22"/>
        </w:rPr>
        <w:t>nek</w:t>
      </w:r>
      <w:r w:rsidRPr="00D40007">
        <w:rPr>
          <w:b/>
          <w:bCs/>
          <w:sz w:val="22"/>
          <w:szCs w:val="22"/>
        </w:rPr>
        <w:t xml:space="preserve"> meg</w:t>
      </w:r>
      <w:r w:rsidR="00DD3866">
        <w:rPr>
          <w:b/>
          <w:bCs/>
          <w:sz w:val="22"/>
          <w:szCs w:val="22"/>
        </w:rPr>
        <w:t xml:space="preserve"> </w:t>
      </w:r>
      <w:r w:rsidR="00DD3866" w:rsidRPr="005668D8">
        <w:rPr>
          <w:bCs/>
          <w:sz w:val="22"/>
          <w:szCs w:val="22"/>
        </w:rPr>
        <w:t>(pl. a szerződés felmondással megszűnik</w:t>
      </w:r>
      <w:r w:rsidR="000F397C">
        <w:rPr>
          <w:bCs/>
          <w:sz w:val="22"/>
          <w:szCs w:val="22"/>
        </w:rPr>
        <w:t>, vagy nem kerül sor a lakás-előtakarékossági szerződés fentiek szerinti kiutalására</w:t>
      </w:r>
      <w:r w:rsidR="00EC5E77">
        <w:rPr>
          <w:bCs/>
          <w:sz w:val="22"/>
          <w:szCs w:val="22"/>
        </w:rPr>
        <w:t>, vagy a megtakarítási idő nem éri el a 8 megtakarítási évet</w:t>
      </w:r>
      <w:r w:rsidR="00DD3866" w:rsidRPr="005668D8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, </w:t>
      </w:r>
    </w:p>
    <w:p w:rsidR="00D22B0B" w:rsidRDefault="001F6EC4" w:rsidP="00C8536C">
      <w:pPr>
        <w:numPr>
          <w:ilvl w:val="0"/>
          <w:numId w:val="1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="00D22B0B">
        <w:rPr>
          <w:bCs/>
          <w:sz w:val="22"/>
          <w:szCs w:val="22"/>
        </w:rPr>
        <w:t xml:space="preserve">melyeket </w:t>
      </w:r>
      <w:r w:rsidR="005F6A2D">
        <w:rPr>
          <w:bCs/>
          <w:sz w:val="22"/>
          <w:szCs w:val="22"/>
        </w:rPr>
        <w:t>a megtakarítási idő alatt a</w:t>
      </w:r>
      <w:r w:rsidR="00D22B0B">
        <w:rPr>
          <w:bCs/>
          <w:sz w:val="22"/>
          <w:szCs w:val="22"/>
        </w:rPr>
        <w:t xml:space="preserve"> s</w:t>
      </w:r>
      <w:r w:rsidR="005F6A2D">
        <w:rPr>
          <w:bCs/>
          <w:sz w:val="22"/>
          <w:szCs w:val="22"/>
        </w:rPr>
        <w:t>z</w:t>
      </w:r>
      <w:r w:rsidR="00D22B0B">
        <w:rPr>
          <w:bCs/>
          <w:sz w:val="22"/>
          <w:szCs w:val="22"/>
        </w:rPr>
        <w:t>erződő</w:t>
      </w:r>
      <w:r w:rsidR="005F6A2D">
        <w:rPr>
          <w:bCs/>
          <w:sz w:val="22"/>
          <w:szCs w:val="22"/>
        </w:rPr>
        <w:t>,</w:t>
      </w:r>
      <w:r w:rsidR="00A363AA">
        <w:rPr>
          <w:bCs/>
          <w:sz w:val="22"/>
          <w:szCs w:val="22"/>
        </w:rPr>
        <w:t xml:space="preserve"> </w:t>
      </w:r>
      <w:r w:rsidR="00FB1324">
        <w:rPr>
          <w:bCs/>
          <w:sz w:val="22"/>
          <w:szCs w:val="22"/>
        </w:rPr>
        <w:t xml:space="preserve">írásbeli </w:t>
      </w:r>
      <w:r w:rsidR="00A363AA">
        <w:rPr>
          <w:bCs/>
          <w:sz w:val="22"/>
          <w:szCs w:val="22"/>
        </w:rPr>
        <w:t>nyilatkozat alapján partnerbanki hitelügy</w:t>
      </w:r>
      <w:r w:rsidR="006A0E4E">
        <w:rPr>
          <w:bCs/>
          <w:sz w:val="22"/>
          <w:szCs w:val="22"/>
        </w:rPr>
        <w:t xml:space="preserve">lete </w:t>
      </w:r>
      <w:r w:rsidR="00FB37D7">
        <w:rPr>
          <w:bCs/>
          <w:sz w:val="22"/>
          <w:szCs w:val="22"/>
        </w:rPr>
        <w:t xml:space="preserve">biztosítására </w:t>
      </w:r>
      <w:r w:rsidR="00D22B0B">
        <w:rPr>
          <w:bCs/>
          <w:sz w:val="22"/>
          <w:szCs w:val="22"/>
        </w:rPr>
        <w:t xml:space="preserve">vagy csoportos lakáscélú beruházás érdekében </w:t>
      </w:r>
      <w:r w:rsidR="00A363AA">
        <w:rPr>
          <w:bCs/>
          <w:sz w:val="22"/>
          <w:szCs w:val="22"/>
        </w:rPr>
        <w:t>felajánl (</w:t>
      </w:r>
      <w:r w:rsidR="00A363AA" w:rsidRPr="00D40007">
        <w:rPr>
          <w:b/>
          <w:bCs/>
          <w:sz w:val="22"/>
          <w:szCs w:val="22"/>
        </w:rPr>
        <w:t>zárol/engedményez/óvadékba ad</w:t>
      </w:r>
      <w:r w:rsidR="00A363AA">
        <w:rPr>
          <w:bCs/>
          <w:sz w:val="22"/>
          <w:szCs w:val="22"/>
        </w:rPr>
        <w:t>)</w:t>
      </w:r>
      <w:r w:rsidR="00C42563">
        <w:rPr>
          <w:b/>
          <w:bCs/>
          <w:sz w:val="22"/>
          <w:szCs w:val="22"/>
        </w:rPr>
        <w:t>,</w:t>
      </w:r>
      <w:r w:rsidR="00A363AA">
        <w:rPr>
          <w:bCs/>
          <w:sz w:val="22"/>
          <w:szCs w:val="22"/>
        </w:rPr>
        <w:t xml:space="preserve"> vagy </w:t>
      </w:r>
    </w:p>
    <w:p w:rsidR="006B5092" w:rsidRDefault="006B5092" w:rsidP="006E54B2">
      <w:pPr>
        <w:ind w:left="1440"/>
        <w:jc w:val="both"/>
        <w:rPr>
          <w:bCs/>
          <w:sz w:val="22"/>
          <w:szCs w:val="22"/>
        </w:rPr>
      </w:pPr>
    </w:p>
    <w:p w:rsidR="006B5092" w:rsidRDefault="006B5092" w:rsidP="006E54B2">
      <w:pPr>
        <w:ind w:left="1440"/>
        <w:jc w:val="both"/>
        <w:rPr>
          <w:bCs/>
          <w:sz w:val="22"/>
          <w:szCs w:val="22"/>
        </w:rPr>
      </w:pPr>
    </w:p>
    <w:p w:rsidR="00F54FFC" w:rsidRDefault="00F54FFC" w:rsidP="006E54B2">
      <w:pPr>
        <w:autoSpaceDE w:val="0"/>
        <w:autoSpaceDN w:val="0"/>
        <w:adjustRightInd w:val="0"/>
        <w:ind w:left="720"/>
        <w:jc w:val="center"/>
        <w:rPr>
          <w:b/>
          <w:bCs/>
          <w:sz w:val="22"/>
          <w:szCs w:val="22"/>
        </w:rPr>
      </w:pPr>
    </w:p>
    <w:p w:rsidR="00827740" w:rsidRDefault="00827740" w:rsidP="006E54B2">
      <w:pPr>
        <w:autoSpaceDE w:val="0"/>
        <w:autoSpaceDN w:val="0"/>
        <w:adjustRightInd w:val="0"/>
        <w:ind w:left="720"/>
        <w:jc w:val="center"/>
        <w:rPr>
          <w:b/>
          <w:bCs/>
          <w:sz w:val="22"/>
          <w:szCs w:val="22"/>
        </w:rPr>
      </w:pPr>
    </w:p>
    <w:p w:rsidR="00827740" w:rsidRDefault="00827740" w:rsidP="006E54B2">
      <w:pPr>
        <w:autoSpaceDE w:val="0"/>
        <w:autoSpaceDN w:val="0"/>
        <w:adjustRightInd w:val="0"/>
        <w:ind w:left="720"/>
        <w:jc w:val="center"/>
        <w:rPr>
          <w:b/>
          <w:bCs/>
          <w:sz w:val="22"/>
          <w:szCs w:val="22"/>
        </w:rPr>
      </w:pPr>
    </w:p>
    <w:p w:rsidR="00827740" w:rsidRDefault="00827740" w:rsidP="006E54B2">
      <w:pPr>
        <w:autoSpaceDE w:val="0"/>
        <w:autoSpaceDN w:val="0"/>
        <w:adjustRightInd w:val="0"/>
        <w:ind w:left="720"/>
        <w:jc w:val="center"/>
        <w:rPr>
          <w:b/>
          <w:bCs/>
          <w:sz w:val="22"/>
          <w:szCs w:val="22"/>
        </w:rPr>
      </w:pPr>
    </w:p>
    <w:p w:rsidR="006B5092" w:rsidRDefault="006B5092" w:rsidP="006E54B2">
      <w:pPr>
        <w:autoSpaceDE w:val="0"/>
        <w:autoSpaceDN w:val="0"/>
        <w:adjustRightInd w:val="0"/>
        <w:ind w:left="720"/>
        <w:jc w:val="center"/>
        <w:rPr>
          <w:b/>
          <w:bCs/>
          <w:sz w:val="22"/>
          <w:szCs w:val="22"/>
        </w:rPr>
      </w:pPr>
    </w:p>
    <w:p w:rsidR="00F54FFC" w:rsidRDefault="00F54FFC" w:rsidP="006E54B2">
      <w:pPr>
        <w:autoSpaceDE w:val="0"/>
        <w:autoSpaceDN w:val="0"/>
        <w:adjustRightInd w:val="0"/>
        <w:ind w:left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Fundamenta-Lakáskassza Zrt. HIRDETMÉNYE</w:t>
      </w:r>
    </w:p>
    <w:p w:rsidR="00F54FFC" w:rsidRDefault="00F54FFC" w:rsidP="006E54B2">
      <w:pPr>
        <w:autoSpaceDE w:val="0"/>
        <w:autoSpaceDN w:val="0"/>
        <w:adjustRightInd w:val="0"/>
        <w:ind w:left="720"/>
        <w:jc w:val="center"/>
        <w:rPr>
          <w:b/>
          <w:bCs/>
          <w:sz w:val="22"/>
          <w:szCs w:val="22"/>
        </w:rPr>
      </w:pPr>
      <w:r w:rsidRPr="00203845">
        <w:rPr>
          <w:b/>
          <w:bCs/>
          <w:sz w:val="22"/>
          <w:szCs w:val="22"/>
        </w:rPr>
        <w:t>A 2013.</w:t>
      </w:r>
      <w:r>
        <w:rPr>
          <w:b/>
          <w:bCs/>
          <w:sz w:val="22"/>
          <w:szCs w:val="22"/>
        </w:rPr>
        <w:t>06</w:t>
      </w:r>
      <w:r w:rsidRPr="00203845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20-tól 2013.08.15-ig megkötött</w:t>
      </w:r>
    </w:p>
    <w:p w:rsidR="00F54FFC" w:rsidRDefault="00F54FFC" w:rsidP="006E54B2">
      <w:pPr>
        <w:autoSpaceDE w:val="0"/>
        <w:autoSpaceDN w:val="0"/>
        <w:adjustRightInd w:val="0"/>
        <w:ind w:left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lakás-előtakarékossági szerződésekre alkalmazott</w:t>
      </w:r>
    </w:p>
    <w:p w:rsidR="00F54FFC" w:rsidRDefault="00F54FFC" w:rsidP="006E54B2">
      <w:pPr>
        <w:autoSpaceDE w:val="0"/>
        <w:autoSpaceDN w:val="0"/>
        <w:adjustRightInd w:val="0"/>
        <w:ind w:left="720"/>
        <w:jc w:val="center"/>
        <w:rPr>
          <w:b/>
          <w:bCs/>
          <w:sz w:val="22"/>
          <w:szCs w:val="22"/>
        </w:rPr>
      </w:pPr>
    </w:p>
    <w:p w:rsidR="00F54FFC" w:rsidRPr="006E54B2" w:rsidRDefault="00F54FFC" w:rsidP="006E54B2">
      <w:pPr>
        <w:ind w:left="720"/>
        <w:jc w:val="center"/>
        <w:rPr>
          <w:b/>
          <w:bCs/>
          <w:sz w:val="36"/>
          <w:szCs w:val="36"/>
        </w:rPr>
      </w:pPr>
      <w:r w:rsidRPr="006E54B2">
        <w:rPr>
          <w:b/>
          <w:bCs/>
          <w:sz w:val="36"/>
          <w:szCs w:val="36"/>
        </w:rPr>
        <w:t>DUPLÁZÓ BÓNUSZ AKCIÓRÓL folytatása</w:t>
      </w:r>
    </w:p>
    <w:p w:rsidR="00F54FFC" w:rsidRPr="006E54B2" w:rsidRDefault="00F54FFC" w:rsidP="006E54B2">
      <w:pPr>
        <w:ind w:left="720"/>
        <w:jc w:val="center"/>
        <w:rPr>
          <w:b/>
          <w:bCs/>
          <w:sz w:val="32"/>
          <w:szCs w:val="32"/>
        </w:rPr>
      </w:pPr>
    </w:p>
    <w:p w:rsidR="006B5092" w:rsidRDefault="006B5092" w:rsidP="006E54B2">
      <w:pPr>
        <w:numPr>
          <w:ilvl w:val="0"/>
          <w:numId w:val="1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amely szerződésre a szerződő a </w:t>
      </w:r>
      <w:r w:rsidRPr="00D474D0">
        <w:rPr>
          <w:bCs/>
          <w:sz w:val="22"/>
          <w:szCs w:val="22"/>
        </w:rPr>
        <w:t xml:space="preserve">Fundamenta-Lakáskassza </w:t>
      </w:r>
      <w:proofErr w:type="spellStart"/>
      <w:r w:rsidRPr="00D474D0">
        <w:rPr>
          <w:bCs/>
          <w:sz w:val="22"/>
          <w:szCs w:val="22"/>
        </w:rPr>
        <w:t>Zrt</w:t>
      </w:r>
      <w:r>
        <w:rPr>
          <w:bCs/>
          <w:sz w:val="22"/>
          <w:szCs w:val="22"/>
        </w:rPr>
        <w:t>.-től</w:t>
      </w:r>
      <w:proofErr w:type="spellEnd"/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 szerződés megtakarítási ideje alatt azonnali áthidaló kölcsönt vagy áthidaló kölcsönt</w:t>
      </w:r>
      <w:r>
        <w:rPr>
          <w:rStyle w:val="Lbjegyzet-hivatkozs"/>
          <w:b/>
          <w:bCs/>
          <w:sz w:val="22"/>
          <w:szCs w:val="22"/>
        </w:rPr>
        <w:footnoteReference w:id="2"/>
      </w:r>
      <w:r>
        <w:rPr>
          <w:b/>
          <w:bCs/>
          <w:sz w:val="22"/>
          <w:szCs w:val="22"/>
        </w:rPr>
        <w:t xml:space="preserve"> </w:t>
      </w:r>
      <w:r w:rsidRPr="00C96C22">
        <w:rPr>
          <w:b/>
          <w:bCs/>
          <w:sz w:val="22"/>
          <w:szCs w:val="22"/>
        </w:rPr>
        <w:t>igényel</w:t>
      </w:r>
      <w:r>
        <w:rPr>
          <w:bCs/>
          <w:sz w:val="22"/>
          <w:szCs w:val="22"/>
        </w:rPr>
        <w:t xml:space="preserve"> (hitelkérelmet aláír, függetlenül a kölcsönszerződés létrejöttétől), </w:t>
      </w:r>
    </w:p>
    <w:p w:rsidR="00EF324C" w:rsidRDefault="00EF324C" w:rsidP="006E54B2">
      <w:pPr>
        <w:numPr>
          <w:ilvl w:val="0"/>
          <w:numId w:val="1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amely szerződésnek a választott módozathoz és szerződéses összeghez tartozó, </w:t>
      </w:r>
      <w:r w:rsidRPr="00BD207D">
        <w:rPr>
          <w:bCs/>
          <w:sz w:val="22"/>
          <w:szCs w:val="22"/>
        </w:rPr>
        <w:t>a szerződéses összeg arányában kifejez</w:t>
      </w:r>
      <w:r>
        <w:rPr>
          <w:bCs/>
          <w:sz w:val="22"/>
          <w:szCs w:val="22"/>
        </w:rPr>
        <w:t>ett megtakarítási rátája</w:t>
      </w:r>
      <w:r w:rsidRPr="00BD207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- </w:t>
      </w:r>
      <w:r w:rsidRPr="00BD207D">
        <w:rPr>
          <w:bCs/>
          <w:sz w:val="22"/>
          <w:szCs w:val="22"/>
        </w:rPr>
        <w:t>mely a módozat jellemzője (</w:t>
      </w:r>
      <w:r>
        <w:rPr>
          <w:bCs/>
          <w:sz w:val="22"/>
          <w:szCs w:val="22"/>
        </w:rPr>
        <w:t>Fundamenta-Lakáskassza Zrt</w:t>
      </w:r>
      <w:proofErr w:type="gramStart"/>
      <w:r>
        <w:rPr>
          <w:bCs/>
          <w:sz w:val="22"/>
          <w:szCs w:val="22"/>
        </w:rPr>
        <w:t>.,</w:t>
      </w:r>
      <w:proofErr w:type="gramEnd"/>
      <w:r>
        <w:rPr>
          <w:bCs/>
          <w:sz w:val="22"/>
          <w:szCs w:val="22"/>
        </w:rPr>
        <w:t xml:space="preserve"> Általános Szerződési Feltételek 7. § (1) bekezdése, illetőleg 3. sz. és </w:t>
      </w:r>
      <w:r w:rsidRPr="00BD207D">
        <w:rPr>
          <w:bCs/>
          <w:sz w:val="22"/>
          <w:szCs w:val="22"/>
        </w:rPr>
        <w:t>5. sz. mellékletek)</w:t>
      </w:r>
      <w:r>
        <w:rPr>
          <w:bCs/>
          <w:sz w:val="22"/>
          <w:szCs w:val="22"/>
        </w:rPr>
        <w:t xml:space="preserve"> - nem éri el a havi 9.900- Ft-ot,</w:t>
      </w:r>
    </w:p>
    <w:p w:rsidR="008222EB" w:rsidRPr="00B76105" w:rsidRDefault="00623C80" w:rsidP="006E54B2">
      <w:pPr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B76105">
        <w:rPr>
          <w:bCs/>
          <w:sz w:val="22"/>
          <w:szCs w:val="22"/>
        </w:rPr>
        <w:t>amely szerződés</w:t>
      </w:r>
      <w:r w:rsidR="00202F8A" w:rsidRPr="00B76105">
        <w:rPr>
          <w:bCs/>
          <w:sz w:val="22"/>
          <w:szCs w:val="22"/>
        </w:rPr>
        <w:t xml:space="preserve"> módozata </w:t>
      </w:r>
      <w:r w:rsidR="005221A9">
        <w:rPr>
          <w:bCs/>
          <w:sz w:val="22"/>
          <w:szCs w:val="22"/>
        </w:rPr>
        <w:t xml:space="preserve">a szerződő kérésére </w:t>
      </w:r>
      <w:r w:rsidR="00830654">
        <w:rPr>
          <w:bCs/>
          <w:sz w:val="22"/>
          <w:szCs w:val="22"/>
        </w:rPr>
        <w:t xml:space="preserve">olyan módozatra vált, aminek a módozathoz tartozó minimális megtakarítási ideje kevesebb, mint 8 megtakarítási év. </w:t>
      </w:r>
      <w:r w:rsidR="00202F8A" w:rsidRPr="00B76105">
        <w:rPr>
          <w:bCs/>
          <w:sz w:val="22"/>
          <w:szCs w:val="22"/>
        </w:rPr>
        <w:t>A</w:t>
      </w:r>
      <w:r w:rsidR="00BD207D" w:rsidRPr="00B76105">
        <w:rPr>
          <w:bCs/>
          <w:sz w:val="22"/>
          <w:szCs w:val="22"/>
        </w:rPr>
        <w:t xml:space="preserve"> módozat</w:t>
      </w:r>
      <w:r w:rsidR="00202F8A" w:rsidRPr="00B76105">
        <w:rPr>
          <w:bCs/>
          <w:sz w:val="22"/>
          <w:szCs w:val="22"/>
        </w:rPr>
        <w:t>ok jellemzői</w:t>
      </w:r>
      <w:r w:rsidR="00B76105" w:rsidRPr="00B76105">
        <w:rPr>
          <w:bCs/>
          <w:sz w:val="22"/>
          <w:szCs w:val="22"/>
        </w:rPr>
        <w:t xml:space="preserve">t a </w:t>
      </w:r>
      <w:r w:rsidR="00BD207D" w:rsidRPr="00B76105">
        <w:rPr>
          <w:bCs/>
          <w:sz w:val="22"/>
          <w:szCs w:val="22"/>
        </w:rPr>
        <w:t>Fundamenta-Lakáskassza Zrt</w:t>
      </w:r>
      <w:r w:rsidR="001C167E">
        <w:rPr>
          <w:bCs/>
          <w:sz w:val="22"/>
          <w:szCs w:val="22"/>
        </w:rPr>
        <w:t>.</w:t>
      </w:r>
      <w:r w:rsidR="00BD207D" w:rsidRPr="00B76105">
        <w:rPr>
          <w:bCs/>
          <w:sz w:val="22"/>
          <w:szCs w:val="22"/>
        </w:rPr>
        <w:t xml:space="preserve"> </w:t>
      </w:r>
      <w:r w:rsidR="000F397C">
        <w:rPr>
          <w:bCs/>
          <w:sz w:val="22"/>
          <w:szCs w:val="22"/>
        </w:rPr>
        <w:t>megkötés</w:t>
      </w:r>
      <w:r w:rsidR="00251DC2">
        <w:rPr>
          <w:bCs/>
          <w:sz w:val="22"/>
          <w:szCs w:val="22"/>
        </w:rPr>
        <w:t>e</w:t>
      </w:r>
      <w:r w:rsidR="000F397C">
        <w:rPr>
          <w:bCs/>
          <w:sz w:val="22"/>
          <w:szCs w:val="22"/>
        </w:rPr>
        <w:t xml:space="preserve">kor </w:t>
      </w:r>
      <w:r w:rsidR="00830654">
        <w:rPr>
          <w:bCs/>
          <w:sz w:val="22"/>
          <w:szCs w:val="22"/>
        </w:rPr>
        <w:t xml:space="preserve">hatályos </w:t>
      </w:r>
      <w:r w:rsidR="00BD207D" w:rsidRPr="00B76105">
        <w:rPr>
          <w:bCs/>
          <w:sz w:val="22"/>
          <w:szCs w:val="22"/>
        </w:rPr>
        <w:t>Általános Szerződési Feltétel</w:t>
      </w:r>
      <w:r w:rsidRPr="00B76105">
        <w:rPr>
          <w:bCs/>
          <w:sz w:val="22"/>
          <w:szCs w:val="22"/>
        </w:rPr>
        <w:t>ek</w:t>
      </w:r>
      <w:r w:rsidR="00BD207D" w:rsidRPr="00B76105">
        <w:rPr>
          <w:bCs/>
          <w:sz w:val="22"/>
          <w:szCs w:val="22"/>
        </w:rPr>
        <w:t xml:space="preserve"> </w:t>
      </w:r>
      <w:r w:rsidR="005221A9">
        <w:rPr>
          <w:bCs/>
          <w:sz w:val="22"/>
          <w:szCs w:val="22"/>
        </w:rPr>
        <w:t>3.</w:t>
      </w:r>
      <w:r w:rsidR="00B76105" w:rsidRPr="00B76105">
        <w:rPr>
          <w:bCs/>
          <w:sz w:val="22"/>
          <w:szCs w:val="22"/>
        </w:rPr>
        <w:t xml:space="preserve"> </w:t>
      </w:r>
      <w:r w:rsidR="00B76105">
        <w:rPr>
          <w:bCs/>
          <w:sz w:val="22"/>
          <w:szCs w:val="22"/>
        </w:rPr>
        <w:t>s</w:t>
      </w:r>
      <w:r w:rsidR="00B76105" w:rsidRPr="00B76105">
        <w:rPr>
          <w:bCs/>
          <w:sz w:val="22"/>
          <w:szCs w:val="22"/>
        </w:rPr>
        <w:t>z</w:t>
      </w:r>
      <w:r w:rsidR="00B76105">
        <w:rPr>
          <w:bCs/>
          <w:sz w:val="22"/>
          <w:szCs w:val="22"/>
        </w:rPr>
        <w:t>.</w:t>
      </w:r>
      <w:r w:rsidR="00B76105" w:rsidRPr="00B76105">
        <w:rPr>
          <w:bCs/>
          <w:sz w:val="22"/>
          <w:szCs w:val="22"/>
        </w:rPr>
        <w:t xml:space="preserve"> ill</w:t>
      </w:r>
      <w:r w:rsidR="00BD207D" w:rsidRPr="00B76105">
        <w:rPr>
          <w:bCs/>
          <w:sz w:val="22"/>
          <w:szCs w:val="22"/>
        </w:rPr>
        <w:t>etőleg 5. sz. melléklete</w:t>
      </w:r>
      <w:r w:rsidR="001F21E2">
        <w:rPr>
          <w:bCs/>
          <w:sz w:val="22"/>
          <w:szCs w:val="22"/>
        </w:rPr>
        <w:t>i</w:t>
      </w:r>
      <w:r w:rsidR="00B76105" w:rsidRPr="00B76105">
        <w:rPr>
          <w:bCs/>
          <w:sz w:val="22"/>
          <w:szCs w:val="22"/>
        </w:rPr>
        <w:t xml:space="preserve"> tartalmazzák.</w:t>
      </w:r>
    </w:p>
    <w:p w:rsidR="00A363AA" w:rsidRDefault="00A363AA" w:rsidP="00A363AA">
      <w:pPr>
        <w:ind w:left="720"/>
        <w:jc w:val="both"/>
        <w:rPr>
          <w:bCs/>
          <w:sz w:val="22"/>
          <w:szCs w:val="22"/>
        </w:rPr>
      </w:pPr>
    </w:p>
    <w:p w:rsidR="00104401" w:rsidRDefault="00D474D0" w:rsidP="006E54B2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</w:t>
      </w:r>
      <w:r w:rsidRPr="00D474D0">
        <w:rPr>
          <w:bCs/>
          <w:sz w:val="22"/>
          <w:szCs w:val="22"/>
        </w:rPr>
        <w:t>Fundamenta-Lakáskassza Zrt.</w:t>
      </w:r>
      <w:r>
        <w:rPr>
          <w:bCs/>
          <w:sz w:val="22"/>
          <w:szCs w:val="22"/>
        </w:rPr>
        <w:t xml:space="preserve"> a</w:t>
      </w:r>
      <w:r w:rsidR="008222EB">
        <w:rPr>
          <w:bCs/>
          <w:sz w:val="22"/>
          <w:szCs w:val="22"/>
        </w:rPr>
        <w:t xml:space="preserve"> </w:t>
      </w:r>
      <w:r w:rsidR="00B76105">
        <w:rPr>
          <w:bCs/>
          <w:sz w:val="22"/>
          <w:szCs w:val="22"/>
        </w:rPr>
        <w:t>Duplázó Bónusz</w:t>
      </w:r>
      <w:r w:rsidR="008222EB">
        <w:rPr>
          <w:bCs/>
          <w:sz w:val="22"/>
          <w:szCs w:val="22"/>
        </w:rPr>
        <w:t xml:space="preserve"> </w:t>
      </w:r>
      <w:r w:rsidR="00D40007">
        <w:rPr>
          <w:bCs/>
          <w:sz w:val="22"/>
          <w:szCs w:val="22"/>
        </w:rPr>
        <w:t>összegét a megtakarítási idő alatt</w:t>
      </w:r>
      <w:r w:rsidR="006A0E4E">
        <w:rPr>
          <w:bCs/>
          <w:sz w:val="22"/>
          <w:szCs w:val="22"/>
        </w:rPr>
        <w:t xml:space="preserve"> a kiutalásig </w:t>
      </w:r>
      <w:r w:rsidR="00D40007" w:rsidRPr="00A363AA">
        <w:rPr>
          <w:b/>
          <w:bCs/>
          <w:sz w:val="22"/>
          <w:szCs w:val="22"/>
        </w:rPr>
        <w:t xml:space="preserve">elkülönítve </w:t>
      </w:r>
      <w:r w:rsidR="005F6688">
        <w:rPr>
          <w:b/>
          <w:bCs/>
          <w:sz w:val="22"/>
          <w:szCs w:val="22"/>
        </w:rPr>
        <w:t>kezeli</w:t>
      </w:r>
      <w:r w:rsidR="00D40007">
        <w:rPr>
          <w:bCs/>
          <w:sz w:val="22"/>
          <w:szCs w:val="22"/>
        </w:rPr>
        <w:t xml:space="preserve">, arra </w:t>
      </w:r>
      <w:r w:rsidR="00E04815">
        <w:rPr>
          <w:bCs/>
          <w:sz w:val="22"/>
          <w:szCs w:val="22"/>
        </w:rPr>
        <w:t>állami támogatást nem igényel</w:t>
      </w:r>
      <w:r w:rsidR="00623C80">
        <w:rPr>
          <w:bCs/>
          <w:sz w:val="22"/>
          <w:szCs w:val="22"/>
        </w:rPr>
        <w:t xml:space="preserve"> és</w:t>
      </w:r>
      <w:r w:rsidR="00E04815">
        <w:rPr>
          <w:bCs/>
          <w:sz w:val="22"/>
          <w:szCs w:val="22"/>
        </w:rPr>
        <w:t xml:space="preserve"> </w:t>
      </w:r>
      <w:r w:rsidR="00D40007">
        <w:rPr>
          <w:bCs/>
          <w:sz w:val="22"/>
          <w:szCs w:val="22"/>
        </w:rPr>
        <w:t>kamat</w:t>
      </w:r>
      <w:r w:rsidR="00A363AA">
        <w:rPr>
          <w:bCs/>
          <w:sz w:val="22"/>
          <w:szCs w:val="22"/>
        </w:rPr>
        <w:t>ot</w:t>
      </w:r>
      <w:r w:rsidR="00CD0206">
        <w:rPr>
          <w:bCs/>
          <w:sz w:val="22"/>
          <w:szCs w:val="22"/>
        </w:rPr>
        <w:t xml:space="preserve"> </w:t>
      </w:r>
      <w:r w:rsidR="00A363AA">
        <w:rPr>
          <w:bCs/>
          <w:sz w:val="22"/>
          <w:szCs w:val="22"/>
        </w:rPr>
        <w:t xml:space="preserve">nem </w:t>
      </w:r>
      <w:r w:rsidR="00907E14">
        <w:rPr>
          <w:bCs/>
          <w:sz w:val="22"/>
          <w:szCs w:val="22"/>
        </w:rPr>
        <w:t>ír jóvá</w:t>
      </w:r>
      <w:r w:rsidR="00D50ED2">
        <w:rPr>
          <w:bCs/>
          <w:sz w:val="22"/>
          <w:szCs w:val="22"/>
        </w:rPr>
        <w:t>.</w:t>
      </w:r>
      <w:r w:rsidR="00D40007">
        <w:rPr>
          <w:bCs/>
          <w:sz w:val="22"/>
          <w:szCs w:val="22"/>
        </w:rPr>
        <w:t xml:space="preserve"> </w:t>
      </w:r>
    </w:p>
    <w:p w:rsidR="005C4D95" w:rsidRDefault="005C4D95" w:rsidP="005C4D9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40007" w:rsidRDefault="00335257" w:rsidP="006E54B2">
      <w:pPr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A363AA">
        <w:rPr>
          <w:b/>
          <w:bCs/>
          <w:sz w:val="22"/>
          <w:szCs w:val="22"/>
        </w:rPr>
        <w:t xml:space="preserve">A </w:t>
      </w:r>
      <w:r w:rsidR="00D474D0" w:rsidRPr="00D474D0">
        <w:rPr>
          <w:b/>
          <w:bCs/>
          <w:sz w:val="22"/>
          <w:szCs w:val="22"/>
        </w:rPr>
        <w:t>Fundamenta-Lakáskassza Zrt.</w:t>
      </w:r>
      <w:r w:rsidR="00D474D0">
        <w:rPr>
          <w:b/>
          <w:bCs/>
          <w:sz w:val="22"/>
          <w:szCs w:val="22"/>
        </w:rPr>
        <w:t xml:space="preserve"> a</w:t>
      </w:r>
      <w:r w:rsidR="008222EB">
        <w:rPr>
          <w:b/>
          <w:bCs/>
          <w:sz w:val="22"/>
          <w:szCs w:val="22"/>
        </w:rPr>
        <w:t xml:space="preserve"> </w:t>
      </w:r>
      <w:r w:rsidR="00B76105">
        <w:rPr>
          <w:b/>
          <w:bCs/>
          <w:sz w:val="22"/>
          <w:szCs w:val="22"/>
        </w:rPr>
        <w:t>Duplázó Bónusz</w:t>
      </w:r>
      <w:r w:rsidR="008222EB">
        <w:rPr>
          <w:b/>
          <w:bCs/>
          <w:sz w:val="22"/>
          <w:szCs w:val="22"/>
        </w:rPr>
        <w:t xml:space="preserve"> </w:t>
      </w:r>
      <w:r w:rsidRPr="00A363AA">
        <w:rPr>
          <w:b/>
          <w:bCs/>
          <w:sz w:val="22"/>
          <w:szCs w:val="22"/>
        </w:rPr>
        <w:t>összegét</w:t>
      </w:r>
      <w:r w:rsidR="00D40007">
        <w:rPr>
          <w:bCs/>
          <w:sz w:val="22"/>
          <w:szCs w:val="22"/>
        </w:rPr>
        <w:t xml:space="preserve"> a szerződés </w:t>
      </w:r>
      <w:r w:rsidR="00D40007" w:rsidRPr="00A363AA">
        <w:rPr>
          <w:b/>
          <w:bCs/>
          <w:sz w:val="22"/>
          <w:szCs w:val="22"/>
        </w:rPr>
        <w:t>kiutalásakor</w:t>
      </w:r>
      <w:r w:rsidR="00BD207D">
        <w:rPr>
          <w:b/>
          <w:bCs/>
          <w:sz w:val="22"/>
          <w:szCs w:val="22"/>
        </w:rPr>
        <w:t xml:space="preserve"> a </w:t>
      </w:r>
      <w:r w:rsidR="000E682E">
        <w:rPr>
          <w:b/>
          <w:bCs/>
          <w:sz w:val="22"/>
          <w:szCs w:val="22"/>
        </w:rPr>
        <w:t xml:space="preserve">megtakarítási </w:t>
      </w:r>
      <w:r w:rsidR="00BD207D">
        <w:rPr>
          <w:b/>
          <w:bCs/>
          <w:sz w:val="22"/>
          <w:szCs w:val="22"/>
        </w:rPr>
        <w:t>számlán</w:t>
      </w:r>
      <w:r w:rsidR="00D40007" w:rsidRPr="00A363AA">
        <w:rPr>
          <w:b/>
          <w:bCs/>
          <w:sz w:val="22"/>
          <w:szCs w:val="22"/>
        </w:rPr>
        <w:t xml:space="preserve"> </w:t>
      </w:r>
      <w:r w:rsidRPr="00A363AA">
        <w:rPr>
          <w:b/>
          <w:bCs/>
          <w:sz w:val="22"/>
          <w:szCs w:val="22"/>
        </w:rPr>
        <w:t>jóváírj</w:t>
      </w:r>
      <w:r w:rsidR="00D474D0">
        <w:rPr>
          <w:b/>
          <w:bCs/>
          <w:sz w:val="22"/>
          <w:szCs w:val="22"/>
        </w:rPr>
        <w:t>a</w:t>
      </w:r>
      <w:r w:rsidR="001218B3">
        <w:rPr>
          <w:rStyle w:val="Lbjegyzet-hivatkozs"/>
          <w:b/>
          <w:bCs/>
          <w:sz w:val="22"/>
          <w:szCs w:val="22"/>
        </w:rPr>
        <w:t xml:space="preserve"> </w:t>
      </w:r>
      <w:r w:rsidR="00FB1324" w:rsidRPr="001C167E">
        <w:rPr>
          <w:bCs/>
          <w:sz w:val="22"/>
          <w:szCs w:val="22"/>
        </w:rPr>
        <w:t>és</w:t>
      </w:r>
      <w:r>
        <w:rPr>
          <w:bCs/>
          <w:sz w:val="22"/>
          <w:szCs w:val="22"/>
        </w:rPr>
        <w:t xml:space="preserve"> a szerződés teljes megtakarításának részeként</w:t>
      </w:r>
      <w:r w:rsidR="00F465A2">
        <w:rPr>
          <w:bCs/>
          <w:sz w:val="22"/>
          <w:szCs w:val="22"/>
        </w:rPr>
        <w:t xml:space="preserve"> fizet</w:t>
      </w:r>
      <w:r w:rsidR="00D474D0">
        <w:rPr>
          <w:bCs/>
          <w:sz w:val="22"/>
          <w:szCs w:val="22"/>
        </w:rPr>
        <w:t>i</w:t>
      </w:r>
      <w:r w:rsidR="00F465A2">
        <w:rPr>
          <w:bCs/>
          <w:sz w:val="22"/>
          <w:szCs w:val="22"/>
        </w:rPr>
        <w:t xml:space="preserve"> </w:t>
      </w:r>
      <w:proofErr w:type="gramStart"/>
      <w:r w:rsidR="00F465A2">
        <w:rPr>
          <w:bCs/>
          <w:sz w:val="22"/>
          <w:szCs w:val="22"/>
        </w:rPr>
        <w:t>ki</w:t>
      </w:r>
      <w:r w:rsidR="00FB1324">
        <w:rPr>
          <w:rStyle w:val="Lbjegyzet-hivatkozs"/>
          <w:bCs/>
          <w:sz w:val="22"/>
          <w:szCs w:val="22"/>
        </w:rPr>
        <w:footnoteReference w:id="3"/>
      </w:r>
      <w:r>
        <w:rPr>
          <w:bCs/>
          <w:sz w:val="22"/>
          <w:szCs w:val="22"/>
        </w:rPr>
        <w:t>,</w:t>
      </w:r>
      <w:proofErr w:type="gramEnd"/>
      <w:r>
        <w:rPr>
          <w:bCs/>
          <w:sz w:val="22"/>
          <w:szCs w:val="22"/>
        </w:rPr>
        <w:t xml:space="preserve"> így</w:t>
      </w:r>
      <w:r w:rsidR="00D40007">
        <w:rPr>
          <w:bCs/>
          <w:sz w:val="22"/>
          <w:szCs w:val="22"/>
        </w:rPr>
        <w:t xml:space="preserve"> a</w:t>
      </w:r>
      <w:r w:rsidR="008222EB">
        <w:rPr>
          <w:bCs/>
          <w:sz w:val="22"/>
          <w:szCs w:val="22"/>
        </w:rPr>
        <w:t xml:space="preserve"> </w:t>
      </w:r>
      <w:r w:rsidR="00B76105">
        <w:rPr>
          <w:bCs/>
          <w:sz w:val="22"/>
          <w:szCs w:val="22"/>
        </w:rPr>
        <w:t>Duplázó Bónusszal</w:t>
      </w:r>
      <w:r w:rsidR="00D40007" w:rsidRPr="00A363AA">
        <w:rPr>
          <w:b/>
          <w:bCs/>
          <w:sz w:val="22"/>
          <w:szCs w:val="22"/>
        </w:rPr>
        <w:t xml:space="preserve"> növelt megtakarítások összegének lakáscélú felhasználását is igazolni kell. </w:t>
      </w:r>
    </w:p>
    <w:p w:rsidR="00B76105" w:rsidRDefault="00B76105" w:rsidP="00B76105">
      <w:pPr>
        <w:pStyle w:val="Listaszerbekezds"/>
        <w:rPr>
          <w:b/>
          <w:bCs/>
          <w:sz w:val="22"/>
          <w:szCs w:val="22"/>
        </w:rPr>
      </w:pPr>
    </w:p>
    <w:p w:rsidR="00827740" w:rsidRDefault="00827740" w:rsidP="00B76105">
      <w:pPr>
        <w:pStyle w:val="Listaszerbekezds"/>
        <w:rPr>
          <w:b/>
          <w:bCs/>
          <w:sz w:val="22"/>
          <w:szCs w:val="22"/>
        </w:rPr>
      </w:pPr>
    </w:p>
    <w:p w:rsidR="00F54FFC" w:rsidRDefault="00172A6B" w:rsidP="006E54B2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 lakás-előtakarékossági</w:t>
      </w:r>
      <w:r w:rsidR="0038762F" w:rsidRPr="00172A6B">
        <w:rPr>
          <w:bCs/>
          <w:sz w:val="22"/>
          <w:szCs w:val="22"/>
        </w:rPr>
        <w:t xml:space="preserve"> szerződésekre vonatkozó Egységesített </w:t>
      </w:r>
      <w:r w:rsidR="007B0E73" w:rsidRPr="00172A6B">
        <w:rPr>
          <w:bCs/>
          <w:sz w:val="22"/>
          <w:szCs w:val="22"/>
        </w:rPr>
        <w:t xml:space="preserve">Betéti Kamatláb Mutató </w:t>
      </w:r>
      <w:r w:rsidR="00F54FFC" w:rsidRPr="00172A6B">
        <w:rPr>
          <w:bCs/>
          <w:sz w:val="22"/>
          <w:szCs w:val="22"/>
        </w:rPr>
        <w:t>(</w:t>
      </w:r>
      <w:proofErr w:type="gramStart"/>
      <w:r w:rsidR="00F54FFC" w:rsidRPr="00172A6B">
        <w:rPr>
          <w:bCs/>
          <w:sz w:val="22"/>
          <w:szCs w:val="22"/>
        </w:rPr>
        <w:t>EBKM</w:t>
      </w:r>
      <w:r w:rsidR="00F54FFC">
        <w:rPr>
          <w:rStyle w:val="Lbjegyzet-hivatkozs"/>
          <w:bCs/>
          <w:sz w:val="22"/>
          <w:szCs w:val="22"/>
        </w:rPr>
        <w:footnoteReference w:id="4"/>
      </w:r>
      <w:r w:rsidR="00F54FFC" w:rsidRPr="00172A6B">
        <w:rPr>
          <w:bCs/>
          <w:sz w:val="22"/>
          <w:szCs w:val="22"/>
        </w:rPr>
        <w:t>)</w:t>
      </w:r>
      <w:proofErr w:type="gramEnd"/>
      <w:r w:rsidR="00D25809">
        <w:rPr>
          <w:bCs/>
          <w:sz w:val="22"/>
          <w:szCs w:val="22"/>
        </w:rPr>
        <w:t xml:space="preserve"> duplázó bónusz nélkül</w:t>
      </w:r>
      <w:r w:rsidR="00F54FFC">
        <w:rPr>
          <w:bCs/>
          <w:sz w:val="22"/>
          <w:szCs w:val="22"/>
        </w:rPr>
        <w:t>:</w:t>
      </w:r>
    </w:p>
    <w:p w:rsidR="006E54B2" w:rsidRDefault="006E54B2" w:rsidP="006E54B2">
      <w:pPr>
        <w:ind w:left="720"/>
        <w:jc w:val="both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3119"/>
        <w:gridCol w:w="2835"/>
      </w:tblGrid>
      <w:tr w:rsidR="00D25809" w:rsidTr="006E54B2">
        <w:trPr>
          <w:jc w:val="center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809" w:rsidRPr="006E54B2" w:rsidRDefault="005221A9" w:rsidP="00F720B0">
            <w:pPr>
              <w:jc w:val="center"/>
              <w:rPr>
                <w:sz w:val="22"/>
                <w:szCs w:val="22"/>
              </w:rPr>
            </w:pPr>
            <w:r w:rsidRPr="006E54B2">
              <w:rPr>
                <w:bCs/>
                <w:color w:val="FF0000"/>
                <w:sz w:val="22"/>
                <w:szCs w:val="22"/>
              </w:rPr>
              <w:t xml:space="preserve"> </w:t>
            </w:r>
            <w:r w:rsidR="00D25809" w:rsidRPr="006E54B2" w:rsidDel="00D25809">
              <w:rPr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809" w:rsidRPr="006E54B2" w:rsidRDefault="00D25809" w:rsidP="00F720B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6E54B2">
              <w:rPr>
                <w:b/>
                <w:sz w:val="22"/>
                <w:szCs w:val="22"/>
              </w:rPr>
              <w:t>Állami támogatással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809" w:rsidRPr="006E54B2" w:rsidRDefault="00D25809" w:rsidP="00F720B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6E54B2">
              <w:rPr>
                <w:b/>
                <w:sz w:val="22"/>
                <w:szCs w:val="22"/>
              </w:rPr>
              <w:t>Állami támogatás nélkül</w:t>
            </w:r>
          </w:p>
        </w:tc>
      </w:tr>
      <w:tr w:rsidR="00D25809" w:rsidTr="006E54B2">
        <w:trPr>
          <w:trHeight w:val="368"/>
          <w:jc w:val="center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809" w:rsidRPr="006E54B2" w:rsidRDefault="00D25809" w:rsidP="00F720B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6E54B2">
              <w:rPr>
                <w:b/>
                <w:sz w:val="22"/>
                <w:szCs w:val="22"/>
              </w:rPr>
              <w:t>2013.06.30-ig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809" w:rsidRPr="006E54B2" w:rsidRDefault="00D25809" w:rsidP="00F720B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E54B2">
              <w:rPr>
                <w:sz w:val="22"/>
                <w:szCs w:val="22"/>
              </w:rPr>
              <w:t>4,98-6,96 %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809" w:rsidRPr="006E54B2" w:rsidRDefault="00D25809" w:rsidP="00F720B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E54B2">
              <w:rPr>
                <w:sz w:val="22"/>
                <w:szCs w:val="22"/>
              </w:rPr>
              <w:t>0,07-2,25%</w:t>
            </w:r>
          </w:p>
        </w:tc>
      </w:tr>
      <w:tr w:rsidR="00D25809" w:rsidTr="006E54B2">
        <w:trPr>
          <w:trHeight w:val="402"/>
          <w:jc w:val="center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809" w:rsidRPr="006E54B2" w:rsidRDefault="00D25809" w:rsidP="00F720B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6E54B2">
              <w:rPr>
                <w:b/>
                <w:sz w:val="22"/>
                <w:szCs w:val="22"/>
              </w:rPr>
              <w:t>2013.07.01-től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809" w:rsidRPr="006E54B2" w:rsidRDefault="00D25809" w:rsidP="00F720B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E54B2">
              <w:rPr>
                <w:sz w:val="22"/>
                <w:szCs w:val="22"/>
              </w:rPr>
              <w:t>4,98-8,15%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809" w:rsidRPr="006E54B2" w:rsidRDefault="00D25809" w:rsidP="00F720B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E54B2">
              <w:rPr>
                <w:sz w:val="22"/>
                <w:szCs w:val="22"/>
              </w:rPr>
              <w:t>0,07-2,25%</w:t>
            </w:r>
          </w:p>
        </w:tc>
      </w:tr>
    </w:tbl>
    <w:p w:rsidR="00E23161" w:rsidRDefault="00E23161" w:rsidP="006E54B2">
      <w:pPr>
        <w:jc w:val="both"/>
        <w:rPr>
          <w:bCs/>
          <w:sz w:val="22"/>
          <w:szCs w:val="22"/>
        </w:rPr>
      </w:pPr>
    </w:p>
    <w:p w:rsidR="00F54FFC" w:rsidRDefault="00F54FFC" w:rsidP="00F54FFC">
      <w:pPr>
        <w:autoSpaceDE w:val="0"/>
        <w:autoSpaceDN w:val="0"/>
        <w:adjustRightInd w:val="0"/>
        <w:ind w:left="720"/>
        <w:jc w:val="center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  <w:r>
        <w:rPr>
          <w:b/>
          <w:bCs/>
          <w:sz w:val="22"/>
          <w:szCs w:val="22"/>
        </w:rPr>
        <w:lastRenderedPageBreak/>
        <w:t>A Fundamenta-Lakáskassza Zrt. HIRDETMÉNYE</w:t>
      </w:r>
    </w:p>
    <w:p w:rsidR="00F54FFC" w:rsidRDefault="00F54FFC" w:rsidP="00F54FFC">
      <w:pPr>
        <w:autoSpaceDE w:val="0"/>
        <w:autoSpaceDN w:val="0"/>
        <w:adjustRightInd w:val="0"/>
        <w:ind w:left="720"/>
        <w:jc w:val="center"/>
        <w:rPr>
          <w:b/>
          <w:bCs/>
          <w:sz w:val="22"/>
          <w:szCs w:val="22"/>
        </w:rPr>
      </w:pPr>
      <w:r w:rsidRPr="00203845">
        <w:rPr>
          <w:b/>
          <w:bCs/>
          <w:sz w:val="22"/>
          <w:szCs w:val="22"/>
        </w:rPr>
        <w:t>A 2013.</w:t>
      </w:r>
      <w:r>
        <w:rPr>
          <w:b/>
          <w:bCs/>
          <w:sz w:val="22"/>
          <w:szCs w:val="22"/>
        </w:rPr>
        <w:t>06</w:t>
      </w:r>
      <w:r w:rsidRPr="00203845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20-tól 2013.08.15-ig megkötött</w:t>
      </w:r>
    </w:p>
    <w:p w:rsidR="00F54FFC" w:rsidRDefault="00F54FFC" w:rsidP="00F54FFC">
      <w:pPr>
        <w:autoSpaceDE w:val="0"/>
        <w:autoSpaceDN w:val="0"/>
        <w:adjustRightInd w:val="0"/>
        <w:ind w:left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lakás-előtakarékossági szerződésekre alkalmazott</w:t>
      </w:r>
    </w:p>
    <w:p w:rsidR="00F54FFC" w:rsidRDefault="00F54FFC" w:rsidP="00F54FFC">
      <w:pPr>
        <w:autoSpaceDE w:val="0"/>
        <w:autoSpaceDN w:val="0"/>
        <w:adjustRightInd w:val="0"/>
        <w:ind w:left="720"/>
        <w:jc w:val="center"/>
        <w:rPr>
          <w:b/>
          <w:bCs/>
          <w:sz w:val="22"/>
          <w:szCs w:val="22"/>
        </w:rPr>
      </w:pPr>
    </w:p>
    <w:p w:rsidR="00F54FFC" w:rsidRPr="006E54B2" w:rsidRDefault="00F54FFC" w:rsidP="00F54FFC">
      <w:pPr>
        <w:ind w:left="720"/>
        <w:jc w:val="center"/>
        <w:rPr>
          <w:b/>
          <w:bCs/>
          <w:sz w:val="36"/>
          <w:szCs w:val="36"/>
        </w:rPr>
      </w:pPr>
      <w:r w:rsidRPr="006E54B2">
        <w:rPr>
          <w:b/>
          <w:bCs/>
          <w:sz w:val="36"/>
          <w:szCs w:val="36"/>
        </w:rPr>
        <w:t>DUPLÁZÓ BÓNUSZ AKCIÓRÓL folytatása</w:t>
      </w:r>
    </w:p>
    <w:p w:rsidR="00E23161" w:rsidRPr="006E54B2" w:rsidRDefault="00E23161" w:rsidP="006E54B2">
      <w:pPr>
        <w:ind w:left="720"/>
        <w:jc w:val="both"/>
        <w:rPr>
          <w:bCs/>
          <w:sz w:val="22"/>
          <w:szCs w:val="22"/>
        </w:rPr>
      </w:pPr>
    </w:p>
    <w:p w:rsidR="00832E9C" w:rsidRDefault="0038762F" w:rsidP="006E54B2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C8536C">
        <w:rPr>
          <w:bCs/>
          <w:sz w:val="22"/>
          <w:szCs w:val="22"/>
        </w:rPr>
        <w:t>A</w:t>
      </w:r>
      <w:r w:rsidR="0082617D">
        <w:rPr>
          <w:bCs/>
          <w:sz w:val="22"/>
          <w:szCs w:val="22"/>
        </w:rPr>
        <w:t xml:space="preserve"> </w:t>
      </w:r>
      <w:r w:rsidR="00B76105">
        <w:rPr>
          <w:bCs/>
          <w:sz w:val="22"/>
          <w:szCs w:val="22"/>
        </w:rPr>
        <w:t xml:space="preserve">Duplázó Bónusz </w:t>
      </w:r>
      <w:r w:rsidR="007B0E73" w:rsidRPr="00C8536C">
        <w:rPr>
          <w:bCs/>
          <w:sz w:val="22"/>
          <w:szCs w:val="22"/>
        </w:rPr>
        <w:t>akcióra jogosult szerződések lakáskölcsönére</w:t>
      </w:r>
      <w:r w:rsidRPr="00C8536C">
        <w:rPr>
          <w:bCs/>
          <w:sz w:val="22"/>
          <w:szCs w:val="22"/>
        </w:rPr>
        <w:t xml:space="preserve"> vonatkozó Teljes Hiteldíj Mutató (</w:t>
      </w:r>
      <w:proofErr w:type="gramStart"/>
      <w:r w:rsidRPr="00C8536C">
        <w:rPr>
          <w:bCs/>
          <w:sz w:val="22"/>
          <w:szCs w:val="22"/>
        </w:rPr>
        <w:t>THM</w:t>
      </w:r>
      <w:r w:rsidR="001218B3" w:rsidRPr="00C8536C">
        <w:rPr>
          <w:rStyle w:val="Lbjegyzet-hivatkozs"/>
          <w:bCs/>
          <w:sz w:val="22"/>
          <w:szCs w:val="22"/>
        </w:rPr>
        <w:footnoteReference w:id="5"/>
      </w:r>
      <w:r w:rsidR="00B76105">
        <w:rPr>
          <w:bCs/>
          <w:sz w:val="22"/>
          <w:szCs w:val="22"/>
        </w:rPr>
        <w:t>)</w:t>
      </w:r>
      <w:proofErr w:type="gramEnd"/>
      <w:r w:rsidR="00B76105">
        <w:rPr>
          <w:bCs/>
          <w:sz w:val="22"/>
          <w:szCs w:val="22"/>
        </w:rPr>
        <w:t xml:space="preserve">: </w:t>
      </w:r>
    </w:p>
    <w:p w:rsidR="00832E9C" w:rsidRPr="00C8536C" w:rsidRDefault="00832E9C" w:rsidP="00832E9C">
      <w:pPr>
        <w:ind w:left="720"/>
        <w:jc w:val="both"/>
        <w:rPr>
          <w:bCs/>
          <w:sz w:val="22"/>
          <w:szCs w:val="22"/>
        </w:rPr>
      </w:pPr>
    </w:p>
    <w:tbl>
      <w:tblPr>
        <w:tblW w:w="0" w:type="auto"/>
        <w:jc w:val="center"/>
        <w:tblInd w:w="1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3828"/>
        <w:tblGridChange w:id="1">
          <w:tblGrid>
            <w:gridCol w:w="3541"/>
            <w:gridCol w:w="3828"/>
          </w:tblGrid>
        </w:tblGridChange>
      </w:tblGrid>
      <w:tr w:rsidR="00832E9C" w:rsidRPr="00081C77" w:rsidTr="006E54B2">
        <w:trPr>
          <w:jc w:val="center"/>
        </w:trPr>
        <w:tc>
          <w:tcPr>
            <w:tcW w:w="3541" w:type="dxa"/>
            <w:shd w:val="clear" w:color="auto" w:fill="auto"/>
            <w:vAlign w:val="center"/>
          </w:tcPr>
          <w:p w:rsidR="00832E9C" w:rsidRPr="00081C77" w:rsidRDefault="00832E9C" w:rsidP="00081C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832E9C" w:rsidRPr="00E04EFC" w:rsidRDefault="00832E9C" w:rsidP="00081C77">
            <w:pPr>
              <w:jc w:val="center"/>
              <w:rPr>
                <w:b/>
                <w:bCs/>
                <w:sz w:val="22"/>
                <w:szCs w:val="22"/>
              </w:rPr>
            </w:pPr>
            <w:r w:rsidRPr="00E04EFC">
              <w:rPr>
                <w:b/>
                <w:bCs/>
                <w:sz w:val="22"/>
                <w:szCs w:val="22"/>
              </w:rPr>
              <w:t>THM</w:t>
            </w:r>
          </w:p>
        </w:tc>
      </w:tr>
      <w:tr w:rsidR="00832E9C" w:rsidRPr="00081C77" w:rsidTr="006E54B2">
        <w:trPr>
          <w:trHeight w:val="443"/>
          <w:jc w:val="center"/>
        </w:trPr>
        <w:tc>
          <w:tcPr>
            <w:tcW w:w="3541" w:type="dxa"/>
            <w:shd w:val="clear" w:color="auto" w:fill="auto"/>
            <w:vAlign w:val="center"/>
          </w:tcPr>
          <w:p w:rsidR="00832E9C" w:rsidRPr="00081C77" w:rsidRDefault="00832E9C" w:rsidP="00081C77">
            <w:pPr>
              <w:jc w:val="center"/>
              <w:rPr>
                <w:bCs/>
                <w:sz w:val="22"/>
                <w:szCs w:val="22"/>
              </w:rPr>
            </w:pPr>
            <w:r w:rsidRPr="00E04EFC">
              <w:rPr>
                <w:b/>
                <w:bCs/>
                <w:sz w:val="22"/>
                <w:szCs w:val="22"/>
              </w:rPr>
              <w:t>624-es</w:t>
            </w:r>
            <w:r w:rsidRPr="00081C77">
              <w:rPr>
                <w:bCs/>
                <w:sz w:val="22"/>
                <w:szCs w:val="22"/>
              </w:rPr>
              <w:t xml:space="preserve"> módozat szerint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32E9C" w:rsidRPr="00081C77" w:rsidRDefault="00832E9C" w:rsidP="00081C77">
            <w:pPr>
              <w:jc w:val="center"/>
              <w:rPr>
                <w:bCs/>
                <w:sz w:val="22"/>
                <w:szCs w:val="22"/>
              </w:rPr>
            </w:pPr>
            <w:r w:rsidRPr="00081C77">
              <w:rPr>
                <w:bCs/>
                <w:sz w:val="22"/>
                <w:szCs w:val="22"/>
              </w:rPr>
              <w:t>7,45 %</w:t>
            </w:r>
          </w:p>
        </w:tc>
      </w:tr>
      <w:tr w:rsidR="00832E9C" w:rsidRPr="00081C77" w:rsidTr="006E54B2">
        <w:trPr>
          <w:trHeight w:val="405"/>
          <w:jc w:val="center"/>
        </w:trPr>
        <w:tc>
          <w:tcPr>
            <w:tcW w:w="3541" w:type="dxa"/>
            <w:shd w:val="clear" w:color="auto" w:fill="auto"/>
            <w:vAlign w:val="center"/>
          </w:tcPr>
          <w:p w:rsidR="00832E9C" w:rsidRPr="00081C77" w:rsidRDefault="00832E9C" w:rsidP="00081C77">
            <w:pPr>
              <w:jc w:val="center"/>
              <w:rPr>
                <w:bCs/>
                <w:sz w:val="22"/>
                <w:szCs w:val="22"/>
              </w:rPr>
            </w:pPr>
            <w:r w:rsidRPr="00E04EFC">
              <w:rPr>
                <w:b/>
                <w:bCs/>
                <w:sz w:val="22"/>
                <w:szCs w:val="22"/>
              </w:rPr>
              <w:t>824-es</w:t>
            </w:r>
            <w:r w:rsidRPr="00081C77">
              <w:rPr>
                <w:bCs/>
                <w:sz w:val="22"/>
                <w:szCs w:val="22"/>
              </w:rPr>
              <w:t xml:space="preserve"> módozat szerint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32E9C" w:rsidRPr="00081C77" w:rsidRDefault="00832E9C" w:rsidP="00081C77">
            <w:pPr>
              <w:jc w:val="center"/>
              <w:rPr>
                <w:bCs/>
                <w:sz w:val="22"/>
                <w:szCs w:val="22"/>
              </w:rPr>
            </w:pPr>
            <w:r w:rsidRPr="00081C77">
              <w:rPr>
                <w:bCs/>
                <w:sz w:val="22"/>
                <w:szCs w:val="22"/>
              </w:rPr>
              <w:t>5,42 %</w:t>
            </w:r>
          </w:p>
        </w:tc>
      </w:tr>
    </w:tbl>
    <w:p w:rsidR="0038762F" w:rsidRPr="00C8536C" w:rsidRDefault="00026FAB" w:rsidP="006E54B2">
      <w:pPr>
        <w:ind w:left="720"/>
        <w:jc w:val="both"/>
        <w:rPr>
          <w:bCs/>
          <w:sz w:val="22"/>
          <w:szCs w:val="22"/>
        </w:rPr>
      </w:pPr>
      <w:r w:rsidRPr="00C8536C">
        <w:rPr>
          <w:bCs/>
          <w:sz w:val="22"/>
          <w:szCs w:val="22"/>
        </w:rPr>
        <w:t xml:space="preserve"> </w:t>
      </w:r>
    </w:p>
    <w:p w:rsidR="00415D63" w:rsidRDefault="00415D63" w:rsidP="00415D63">
      <w:pPr>
        <w:pStyle w:val="Listaszerbekezds"/>
        <w:rPr>
          <w:bCs/>
          <w:color w:val="FF0000"/>
          <w:sz w:val="22"/>
          <w:szCs w:val="22"/>
        </w:rPr>
      </w:pPr>
    </w:p>
    <w:p w:rsidR="00D22B0B" w:rsidRPr="00FC65D5" w:rsidRDefault="00D22B0B" w:rsidP="006E54B2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FC65D5">
        <w:rPr>
          <w:bCs/>
          <w:sz w:val="22"/>
          <w:szCs w:val="22"/>
        </w:rPr>
        <w:t>A</w:t>
      </w:r>
      <w:r w:rsidR="0082617D">
        <w:rPr>
          <w:bCs/>
          <w:sz w:val="22"/>
          <w:szCs w:val="22"/>
        </w:rPr>
        <w:t xml:space="preserve"> </w:t>
      </w:r>
      <w:r w:rsidR="00B76105">
        <w:rPr>
          <w:bCs/>
          <w:sz w:val="22"/>
          <w:szCs w:val="22"/>
        </w:rPr>
        <w:t>DUPLÁZÓ BÓNUSZ</w:t>
      </w:r>
      <w:r w:rsidR="0082617D">
        <w:rPr>
          <w:bCs/>
          <w:sz w:val="22"/>
          <w:szCs w:val="22"/>
        </w:rPr>
        <w:t xml:space="preserve"> </w:t>
      </w:r>
      <w:r w:rsidRPr="00FC65D5">
        <w:rPr>
          <w:bCs/>
          <w:sz w:val="22"/>
          <w:szCs w:val="22"/>
        </w:rPr>
        <w:t>AKCIÓ hatálya alatt kötött lakás-előtakarékossági szerződésekre</w:t>
      </w:r>
      <w:r>
        <w:rPr>
          <w:bCs/>
          <w:sz w:val="22"/>
          <w:szCs w:val="22"/>
        </w:rPr>
        <w:t xml:space="preserve"> egyebekben változatlanul alkalmazni kell a </w:t>
      </w:r>
      <w:r w:rsidRPr="00D22B0B">
        <w:rPr>
          <w:bCs/>
          <w:sz w:val="22"/>
          <w:szCs w:val="22"/>
        </w:rPr>
        <w:t>Fundamenta-Lakáskassza Zrt.</w:t>
      </w:r>
      <w:r>
        <w:rPr>
          <w:bCs/>
          <w:sz w:val="22"/>
          <w:szCs w:val="22"/>
        </w:rPr>
        <w:t xml:space="preserve"> </w:t>
      </w:r>
      <w:r w:rsidR="008620BC">
        <w:rPr>
          <w:bCs/>
          <w:sz w:val="22"/>
          <w:szCs w:val="22"/>
        </w:rPr>
        <w:t xml:space="preserve">mindenkor </w:t>
      </w:r>
      <w:r>
        <w:rPr>
          <w:bCs/>
          <w:sz w:val="22"/>
          <w:szCs w:val="22"/>
        </w:rPr>
        <w:t>hatályos Általános Szerződési Feltételeit (Üzletszabályzatát).</w:t>
      </w:r>
      <w:r w:rsidR="005C62D5">
        <w:rPr>
          <w:bCs/>
          <w:sz w:val="22"/>
          <w:szCs w:val="22"/>
        </w:rPr>
        <w:t xml:space="preserve"> A lakás-előtakarékossági szerződés részletes leírását a jelen pontban hivatkozott Üzletszabályzat tartalmaz</w:t>
      </w:r>
      <w:r w:rsidR="00623C80">
        <w:rPr>
          <w:bCs/>
          <w:sz w:val="22"/>
          <w:szCs w:val="22"/>
        </w:rPr>
        <w:t>z</w:t>
      </w:r>
      <w:r w:rsidR="005C62D5">
        <w:rPr>
          <w:bCs/>
          <w:sz w:val="22"/>
          <w:szCs w:val="22"/>
        </w:rPr>
        <w:t>a.</w:t>
      </w:r>
    </w:p>
    <w:p w:rsidR="00D22B0B" w:rsidRPr="000E038B" w:rsidRDefault="00D22B0B" w:rsidP="00C8536C">
      <w:pPr>
        <w:ind w:left="720"/>
        <w:jc w:val="both"/>
        <w:rPr>
          <w:bCs/>
          <w:color w:val="FF0000"/>
          <w:sz w:val="22"/>
          <w:szCs w:val="22"/>
        </w:rPr>
      </w:pPr>
    </w:p>
    <w:p w:rsidR="00F54FFC" w:rsidRDefault="00F54FFC" w:rsidP="00D50ED2">
      <w:pPr>
        <w:jc w:val="both"/>
        <w:rPr>
          <w:bCs/>
          <w:sz w:val="22"/>
          <w:szCs w:val="22"/>
        </w:rPr>
      </w:pPr>
    </w:p>
    <w:p w:rsidR="00076EA4" w:rsidRDefault="00076EA4" w:rsidP="00D50ED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Jelen Hirdetmény közzétételére a személyes ügyfélszolgálaton történt kifüggesztés, valamint a </w:t>
      </w:r>
      <w:hyperlink r:id="rId9" w:history="1">
        <w:r w:rsidRPr="00905832">
          <w:rPr>
            <w:rStyle w:val="Hiperhivatkozs"/>
            <w:bCs/>
            <w:sz w:val="22"/>
            <w:szCs w:val="22"/>
          </w:rPr>
          <w:t>www.fundamenta.hu</w:t>
        </w:r>
      </w:hyperlink>
      <w:r>
        <w:rPr>
          <w:bCs/>
          <w:sz w:val="22"/>
          <w:szCs w:val="22"/>
        </w:rPr>
        <w:t xml:space="preserve"> hivatalos honlapunkon való megjelenés útján kerül sor. </w:t>
      </w:r>
    </w:p>
    <w:p w:rsidR="00CC0990" w:rsidRPr="00141BF6" w:rsidRDefault="00CC0990" w:rsidP="00D50ED2">
      <w:pPr>
        <w:jc w:val="both"/>
        <w:rPr>
          <w:bCs/>
          <w:sz w:val="22"/>
          <w:szCs w:val="22"/>
        </w:rPr>
      </w:pPr>
    </w:p>
    <w:p w:rsidR="00A37FE9" w:rsidRDefault="00F67EE1" w:rsidP="00D50ED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Budapest, 201</w:t>
      </w:r>
      <w:r w:rsidR="0082617D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.</w:t>
      </w:r>
      <w:r w:rsidR="00410A32">
        <w:rPr>
          <w:bCs/>
          <w:sz w:val="22"/>
          <w:szCs w:val="22"/>
        </w:rPr>
        <w:t>06</w:t>
      </w:r>
      <w:r>
        <w:rPr>
          <w:bCs/>
          <w:sz w:val="22"/>
          <w:szCs w:val="22"/>
        </w:rPr>
        <w:t>.</w:t>
      </w:r>
      <w:r w:rsidR="00410A32">
        <w:rPr>
          <w:bCs/>
          <w:sz w:val="22"/>
          <w:szCs w:val="22"/>
        </w:rPr>
        <w:t>19</w:t>
      </w:r>
      <w:r>
        <w:rPr>
          <w:bCs/>
          <w:sz w:val="22"/>
          <w:szCs w:val="22"/>
        </w:rPr>
        <w:t>.</w:t>
      </w:r>
    </w:p>
    <w:p w:rsidR="00F54FFC" w:rsidRDefault="00F54FFC" w:rsidP="000E038B">
      <w:pPr>
        <w:autoSpaceDE w:val="0"/>
        <w:autoSpaceDN w:val="0"/>
        <w:adjustRightInd w:val="0"/>
        <w:rPr>
          <w:sz w:val="22"/>
          <w:szCs w:val="22"/>
        </w:rPr>
      </w:pPr>
    </w:p>
    <w:p w:rsidR="00F54FFC" w:rsidRDefault="00F54FFC" w:rsidP="000E038B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18"/>
      </w:tblGrid>
      <w:tr w:rsidR="000E038B" w:rsidRPr="000E038B" w:rsidTr="000E038B">
        <w:trPr>
          <w:trHeight w:val="389"/>
        </w:trPr>
        <w:tc>
          <w:tcPr>
            <w:tcW w:w="4818" w:type="dxa"/>
            <w:shd w:val="clear" w:color="auto" w:fill="auto"/>
          </w:tcPr>
          <w:p w:rsidR="000E038B" w:rsidRPr="000E038B" w:rsidRDefault="00C02237" w:rsidP="00B761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038B">
              <w:rPr>
                <w:sz w:val="22"/>
                <w:szCs w:val="22"/>
              </w:rPr>
              <w:t xml:space="preserve">Dr. </w:t>
            </w:r>
            <w:r w:rsidR="00B76105">
              <w:rPr>
                <w:sz w:val="22"/>
                <w:szCs w:val="22"/>
              </w:rPr>
              <w:t>Gergely Károly</w:t>
            </w:r>
          </w:p>
        </w:tc>
        <w:tc>
          <w:tcPr>
            <w:tcW w:w="4818" w:type="dxa"/>
            <w:shd w:val="clear" w:color="auto" w:fill="auto"/>
          </w:tcPr>
          <w:p w:rsidR="000E038B" w:rsidRPr="000E038B" w:rsidRDefault="000E038B" w:rsidP="000E03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038B">
              <w:rPr>
                <w:sz w:val="22"/>
                <w:szCs w:val="22"/>
              </w:rPr>
              <w:t>Kiss András</w:t>
            </w:r>
          </w:p>
        </w:tc>
      </w:tr>
      <w:tr w:rsidR="000E038B" w:rsidRPr="000E038B" w:rsidTr="000E038B">
        <w:trPr>
          <w:trHeight w:val="581"/>
        </w:trPr>
        <w:tc>
          <w:tcPr>
            <w:tcW w:w="4818" w:type="dxa"/>
            <w:shd w:val="clear" w:color="auto" w:fill="auto"/>
          </w:tcPr>
          <w:p w:rsidR="000E038B" w:rsidRDefault="00B76105" w:rsidP="00B761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elnök-vezérigazgató</w:t>
            </w:r>
          </w:p>
          <w:p w:rsidR="00B030CD" w:rsidRPr="000E038B" w:rsidRDefault="00B030CD" w:rsidP="00B761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sk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818" w:type="dxa"/>
            <w:shd w:val="clear" w:color="auto" w:fill="auto"/>
          </w:tcPr>
          <w:p w:rsidR="000E038B" w:rsidRDefault="006A0E4E" w:rsidP="000E03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</w:t>
            </w:r>
            <w:r w:rsidR="000E038B" w:rsidRPr="000E038B">
              <w:rPr>
                <w:sz w:val="22"/>
                <w:szCs w:val="22"/>
              </w:rPr>
              <w:t>gyviteli igazgató</w:t>
            </w:r>
          </w:p>
          <w:p w:rsidR="00B030CD" w:rsidRPr="000E038B" w:rsidRDefault="00B030CD" w:rsidP="000E03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sk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E038B" w:rsidRPr="000E038B" w:rsidRDefault="000E038B" w:rsidP="000E038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0E038B" w:rsidRPr="000E038B" w:rsidRDefault="000E038B" w:rsidP="000E03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F54FFC" w:rsidRDefault="00F54FFC" w:rsidP="00CF012D">
      <w:pPr>
        <w:jc w:val="center"/>
        <w:rPr>
          <w:b/>
          <w:bCs/>
          <w:sz w:val="22"/>
          <w:szCs w:val="22"/>
        </w:rPr>
      </w:pPr>
    </w:p>
    <w:p w:rsidR="000E038B" w:rsidRDefault="00F67EE1" w:rsidP="00CF012D">
      <w:pPr>
        <w:jc w:val="center"/>
        <w:rPr>
          <w:bCs/>
          <w:sz w:val="22"/>
          <w:szCs w:val="22"/>
        </w:rPr>
      </w:pPr>
      <w:r w:rsidRPr="000E038B">
        <w:rPr>
          <w:b/>
          <w:bCs/>
          <w:sz w:val="22"/>
          <w:szCs w:val="22"/>
        </w:rPr>
        <w:t>Fundamenta-Lakáskassza Lakás-takarékpénztár Zártkörűen Működő Részvénytársaság</w:t>
      </w:r>
    </w:p>
    <w:sectPr w:rsidR="000E038B" w:rsidSect="006B5092">
      <w:footerReference w:type="even" r:id="rId10"/>
      <w:footerReference w:type="default" r:id="rId11"/>
      <w:footerReference w:type="first" r:id="rId12"/>
      <w:type w:val="continuous"/>
      <w:pgSz w:w="11906" w:h="16838" w:code="9"/>
      <w:pgMar w:top="1440" w:right="1080" w:bottom="1440" w:left="1080" w:header="1417" w:footer="85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7DB" w:rsidRDefault="000E27DB">
      <w:r>
        <w:separator/>
      </w:r>
    </w:p>
  </w:endnote>
  <w:endnote w:type="continuationSeparator" w:id="0">
    <w:p w:rsidR="000E27DB" w:rsidRDefault="000E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E9C" w:rsidRPr="00CF012D" w:rsidRDefault="00832E9C" w:rsidP="006B5092">
    <w:pPr>
      <w:pStyle w:val="llb"/>
      <w:tabs>
        <w:tab w:val="clear" w:pos="4536"/>
        <w:tab w:val="clear" w:pos="9072"/>
        <w:tab w:val="center" w:pos="4748"/>
        <w:tab w:val="right" w:pos="9496"/>
      </w:tabs>
      <w:jc w:val="both"/>
      <w:rPr>
        <w:sz w:val="18"/>
        <w:szCs w:val="18"/>
      </w:rPr>
    </w:pPr>
    <w:r>
      <w:rPr>
        <w:sz w:val="18"/>
        <w:szCs w:val="18"/>
      </w:rPr>
      <w:t>Érvényes: 2013.06.20-2013.08.15</w:t>
    </w:r>
    <w:r>
      <w:rPr>
        <w:sz w:val="18"/>
        <w:szCs w:val="18"/>
      </w:rPr>
      <w:tab/>
      <w:t>2</w:t>
    </w:r>
    <w:r>
      <w:rPr>
        <w:sz w:val="18"/>
        <w:szCs w:val="18"/>
      </w:rPr>
      <w:tab/>
    </w:r>
    <w:r w:rsidRPr="000D621A">
      <w:rPr>
        <w:sz w:val="18"/>
        <w:szCs w:val="18"/>
      </w:rPr>
      <w:t xml:space="preserve"> </w:t>
    </w:r>
    <w:r>
      <w:rPr>
        <w:sz w:val="18"/>
        <w:szCs w:val="18"/>
      </w:rPr>
      <w:t>Közzététel: 2013.06.20</w:t>
    </w:r>
  </w:p>
  <w:p w:rsidR="00832E9C" w:rsidRDefault="00832E9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E9C" w:rsidRDefault="00832E9C" w:rsidP="000D621A">
    <w:pPr>
      <w:jc w:val="both"/>
      <w:rPr>
        <w:bCs/>
        <w:sz w:val="18"/>
        <w:szCs w:val="18"/>
      </w:rPr>
    </w:pPr>
  </w:p>
  <w:p w:rsidR="00832E9C" w:rsidRDefault="00832E9C" w:rsidP="000D621A">
    <w:pPr>
      <w:jc w:val="both"/>
      <w:rPr>
        <w:bCs/>
        <w:sz w:val="18"/>
        <w:szCs w:val="18"/>
      </w:rPr>
    </w:pPr>
  </w:p>
  <w:p w:rsidR="00832E9C" w:rsidRPr="000E038B" w:rsidRDefault="00832E9C" w:rsidP="000D621A">
    <w:pPr>
      <w:jc w:val="both"/>
      <w:rPr>
        <w:bCs/>
        <w:sz w:val="18"/>
        <w:szCs w:val="18"/>
      </w:rPr>
    </w:pPr>
    <w:r w:rsidRPr="000E038B">
      <w:rPr>
        <w:bCs/>
        <w:sz w:val="18"/>
        <w:szCs w:val="18"/>
      </w:rPr>
      <w:t>Érvényes: 201</w:t>
    </w:r>
    <w:r>
      <w:rPr>
        <w:bCs/>
        <w:sz w:val="18"/>
        <w:szCs w:val="18"/>
      </w:rPr>
      <w:t>3</w:t>
    </w:r>
    <w:r w:rsidRPr="000E038B">
      <w:rPr>
        <w:bCs/>
        <w:sz w:val="18"/>
        <w:szCs w:val="18"/>
      </w:rPr>
      <w:t>.</w:t>
    </w:r>
    <w:r>
      <w:rPr>
        <w:bCs/>
        <w:sz w:val="18"/>
        <w:szCs w:val="18"/>
      </w:rPr>
      <w:t>06</w:t>
    </w:r>
    <w:r w:rsidRPr="000E038B">
      <w:rPr>
        <w:bCs/>
        <w:sz w:val="18"/>
        <w:szCs w:val="18"/>
      </w:rPr>
      <w:t>.</w:t>
    </w:r>
    <w:r>
      <w:rPr>
        <w:bCs/>
        <w:sz w:val="18"/>
        <w:szCs w:val="18"/>
      </w:rPr>
      <w:t>20</w:t>
    </w:r>
    <w:r w:rsidRPr="000E038B">
      <w:rPr>
        <w:bCs/>
        <w:sz w:val="18"/>
        <w:szCs w:val="18"/>
      </w:rPr>
      <w:t>-201</w:t>
    </w:r>
    <w:r>
      <w:rPr>
        <w:bCs/>
        <w:sz w:val="18"/>
        <w:szCs w:val="18"/>
      </w:rPr>
      <w:t>3</w:t>
    </w:r>
    <w:r w:rsidRPr="000E038B">
      <w:rPr>
        <w:bCs/>
        <w:sz w:val="18"/>
        <w:szCs w:val="18"/>
      </w:rPr>
      <w:t>.</w:t>
    </w:r>
    <w:r>
      <w:rPr>
        <w:bCs/>
        <w:sz w:val="18"/>
        <w:szCs w:val="18"/>
      </w:rPr>
      <w:t>08</w:t>
    </w:r>
    <w:r w:rsidRPr="000E038B">
      <w:rPr>
        <w:bCs/>
        <w:sz w:val="18"/>
        <w:szCs w:val="18"/>
      </w:rPr>
      <w:t>.</w:t>
    </w:r>
    <w:r>
      <w:rPr>
        <w:bCs/>
        <w:sz w:val="18"/>
        <w:szCs w:val="18"/>
      </w:rPr>
      <w:t>15</w:t>
    </w:r>
    <w:r w:rsidRPr="000E038B">
      <w:rPr>
        <w:bCs/>
        <w:sz w:val="18"/>
        <w:szCs w:val="18"/>
      </w:rPr>
      <w:tab/>
    </w:r>
    <w:r w:rsidRPr="000E038B">
      <w:rPr>
        <w:bCs/>
        <w:sz w:val="18"/>
        <w:szCs w:val="18"/>
      </w:rPr>
      <w:tab/>
    </w:r>
    <w:r w:rsidRPr="000E038B">
      <w:rPr>
        <w:bCs/>
        <w:sz w:val="18"/>
        <w:szCs w:val="18"/>
      </w:rPr>
      <w:tab/>
    </w:r>
    <w:r>
      <w:rPr>
        <w:bCs/>
        <w:sz w:val="18"/>
        <w:szCs w:val="18"/>
      </w:rPr>
      <w:tab/>
      <w:t>3</w:t>
    </w:r>
    <w:r w:rsidRPr="000E038B">
      <w:rPr>
        <w:bCs/>
        <w:sz w:val="18"/>
        <w:szCs w:val="18"/>
      </w:rPr>
      <w:tab/>
    </w:r>
    <w:r w:rsidRPr="000E038B"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 w:rsidRPr="000E038B">
      <w:rPr>
        <w:bCs/>
        <w:sz w:val="18"/>
        <w:szCs w:val="18"/>
      </w:rPr>
      <w:t>Közzététel: 201</w:t>
    </w:r>
    <w:r>
      <w:rPr>
        <w:bCs/>
        <w:sz w:val="18"/>
        <w:szCs w:val="18"/>
      </w:rPr>
      <w:t>3</w:t>
    </w:r>
    <w:r w:rsidRPr="000E038B">
      <w:rPr>
        <w:bCs/>
        <w:sz w:val="18"/>
        <w:szCs w:val="18"/>
      </w:rPr>
      <w:t>.</w:t>
    </w:r>
    <w:r>
      <w:rPr>
        <w:bCs/>
        <w:sz w:val="18"/>
        <w:szCs w:val="18"/>
      </w:rPr>
      <w:t>06</w:t>
    </w:r>
    <w:r w:rsidRPr="000E038B">
      <w:rPr>
        <w:bCs/>
        <w:sz w:val="18"/>
        <w:szCs w:val="18"/>
      </w:rPr>
      <w:t>.</w:t>
    </w:r>
    <w:r>
      <w:rPr>
        <w:bCs/>
        <w:sz w:val="18"/>
        <w:szCs w:val="18"/>
      </w:rPr>
      <w:t>20</w:t>
    </w:r>
  </w:p>
  <w:p w:rsidR="00832E9C" w:rsidRPr="000E038B" w:rsidRDefault="00832E9C">
    <w:pPr>
      <w:pStyle w:val="llb"/>
      <w:rPr>
        <w:sz w:val="18"/>
        <w:szCs w:val="18"/>
      </w:rPr>
    </w:pPr>
  </w:p>
  <w:p w:rsidR="00832E9C" w:rsidRDefault="00832E9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E9C" w:rsidRPr="00CF012D" w:rsidRDefault="00832E9C" w:rsidP="00CF012D">
    <w:pPr>
      <w:pStyle w:val="llb"/>
      <w:tabs>
        <w:tab w:val="clear" w:pos="4536"/>
        <w:tab w:val="clear" w:pos="9072"/>
        <w:tab w:val="center" w:pos="4748"/>
        <w:tab w:val="right" w:pos="9496"/>
      </w:tabs>
      <w:jc w:val="both"/>
      <w:rPr>
        <w:sz w:val="18"/>
        <w:szCs w:val="18"/>
      </w:rPr>
    </w:pPr>
    <w:r w:rsidRPr="000D621A">
      <w:rPr>
        <w:sz w:val="18"/>
        <w:szCs w:val="18"/>
      </w:rPr>
      <w:t xml:space="preserve"> </w:t>
    </w:r>
    <w:r>
      <w:rPr>
        <w:sz w:val="18"/>
        <w:szCs w:val="18"/>
      </w:rPr>
      <w:t>Érvényes: 2013.06.20-2013.08.15</w:t>
    </w:r>
    <w:r>
      <w:rPr>
        <w:sz w:val="18"/>
        <w:szCs w:val="18"/>
      </w:rPr>
      <w:tab/>
      <w:t>1</w:t>
    </w:r>
    <w:r>
      <w:rPr>
        <w:sz w:val="18"/>
        <w:szCs w:val="18"/>
      </w:rPr>
      <w:tab/>
    </w:r>
    <w:r w:rsidRPr="000D621A">
      <w:rPr>
        <w:sz w:val="18"/>
        <w:szCs w:val="18"/>
      </w:rPr>
      <w:t xml:space="preserve"> </w:t>
    </w:r>
    <w:r>
      <w:rPr>
        <w:sz w:val="18"/>
        <w:szCs w:val="18"/>
      </w:rPr>
      <w:t>Közzététel: 2013.06.20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7DB" w:rsidRDefault="000E27DB">
      <w:r>
        <w:separator/>
      </w:r>
    </w:p>
  </w:footnote>
  <w:footnote w:type="continuationSeparator" w:id="0">
    <w:p w:rsidR="000E27DB" w:rsidRDefault="000E27DB">
      <w:r>
        <w:continuationSeparator/>
      </w:r>
    </w:p>
  </w:footnote>
  <w:footnote w:id="1">
    <w:p w:rsidR="00832E9C" w:rsidRDefault="00832E9C" w:rsidP="005B331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lakás-előtakarékossági szerződés kiutalásának részletes feltételeit a vonatkozó jogszabályok alapján kialakított és a felügyeleti szerv által engedélyezett Általános Szerződési Feltételek (Üzletszabályzat) tartalmazza. </w:t>
      </w:r>
      <w:proofErr w:type="gramStart"/>
      <w:r>
        <w:t xml:space="preserve">Ennek értelmében a kiutalásra (ami nem azonos a szerződés kifizetésével), akkor kerülhet sor, ha a lakás-előtakarékoskodó elérte az adott módozatra meghatározott minimális megtakarítási időt és a lakás-előtakarékoskodó megtakarította az adott módozatra meghatározott minimális megtakarítási hányadot, valamint a szerződés elérte az adott módozatra meghatározott minimális értékszámot, továbbá a szerződés elérte a </w:t>
      </w:r>
      <w:proofErr w:type="spellStart"/>
      <w:r>
        <w:t>célértékszámot</w:t>
      </w:r>
      <w:proofErr w:type="spellEnd"/>
      <w:r>
        <w:t>, ha az magasabb, mint a minimális értékszám és a lakás-előtakarékoskodó az előírt határidőn belül jelezte a lakás-takarékpénztárnál, hogy a kiutalást kész elfogadni.</w:t>
      </w:r>
      <w:proofErr w:type="gramEnd"/>
      <w:r>
        <w:t xml:space="preserve">  A 6-os és 8-as módozatok kiutalási jellemzőit a szerződés megkötésekor hatályos Általános Szerződési Feltételek 3. sz. és 5. sz. mellékletek tartalmazzák.</w:t>
      </w:r>
    </w:p>
  </w:footnote>
  <w:footnote w:id="2">
    <w:p w:rsidR="00832E9C" w:rsidRDefault="00832E9C" w:rsidP="006B509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 xml:space="preserve">A Fundamenta-Lakáskassza Zrt. lakáskölcsön mellett értékesített hiteltermékeivel kapcsolatosan bővebb tájékoztatást a </w:t>
      </w:r>
      <w:hyperlink r:id="rId1" w:history="1">
        <w:r w:rsidRPr="00D474D0">
          <w:rPr>
            <w:rStyle w:val="Hiperhivatkozs"/>
          </w:rPr>
          <w:t>www.fundamenta.hu</w:t>
        </w:r>
      </w:hyperlink>
      <w:r>
        <w:t xml:space="preserve"> oldalon az információtár menüponton belül a dokumentumtárban található „Tájékoztató Azonnali Áthidaló Kölcsönről lakossági ügyfelek számára 2013.03.01”, „Tájékoztató Áthidaló Kölcsönről lakossági ügyfelek számára 2013.03.01”, „Tájékoztató Azonnali Áthidaló Kölcsönről Társasházak és Lakásszövetkezetek számára 2012.10.01” és a „Tájékoztató Áthidaló Kölcsönről Társasházak és Lakásszövetkezetek számára 2012.10.01”elnevezésű</w:t>
      </w:r>
      <w:proofErr w:type="gramEnd"/>
      <w:r>
        <w:t xml:space="preserve"> </w:t>
      </w:r>
      <w:proofErr w:type="gramStart"/>
      <w:r>
        <w:t>dokumentumban</w:t>
      </w:r>
      <w:proofErr w:type="gramEnd"/>
      <w:r>
        <w:t xml:space="preserve"> találhat. </w:t>
      </w:r>
    </w:p>
  </w:footnote>
  <w:footnote w:id="3">
    <w:p w:rsidR="00832E9C" w:rsidRPr="007F5EC0" w:rsidRDefault="00832E9C" w:rsidP="000F397C">
      <w:pPr>
        <w:pStyle w:val="Lbjegyzetszveg"/>
        <w:jc w:val="both"/>
      </w:pPr>
      <w:r w:rsidRPr="007F5EC0">
        <w:rPr>
          <w:rStyle w:val="Lbjegyzet-hivatkozs"/>
        </w:rPr>
        <w:footnoteRef/>
      </w:r>
      <w:r w:rsidRPr="007F5EC0">
        <w:t xml:space="preserve"> A kiutalási összeg részletezését a</w:t>
      </w:r>
      <w:r>
        <w:t xml:space="preserve"> </w:t>
      </w:r>
      <w:proofErr w:type="spellStart"/>
      <w:r>
        <w:t>lakástakarékpénztárakról</w:t>
      </w:r>
      <w:proofErr w:type="spellEnd"/>
      <w:r>
        <w:t xml:space="preserve"> szóló 1996. évi CXIII. törvény 10.§ (1) bekezdése tartalmazza, amely szerint a kiutalási összeg a következő részekből áll: a lakás-előtakarékoskodók által befizetett betétek, a betétekre jóváírt kamatok, a jóváírt állami támogatás és annak kamatai, valamint a már lakáskölcsönt kapott lakás-előtakarékoskodók, illetve kedvezményezettek tőketörlesztései.</w:t>
      </w:r>
    </w:p>
  </w:footnote>
  <w:footnote w:id="4">
    <w:p w:rsidR="00832E9C" w:rsidRDefault="00832E9C" w:rsidP="00F54FF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betéti kamat és az értékpapírok hozama számításáról és közzétételéről szóló 82/2010. (III. 25.) Korm. rendelet (továbbiakban EBKM r.) szerint a hitelintézetnek üzletszabályzatában az egyes általa kínált betéti szerződések esetében rögzített kamatszámítási módszeren kívül az egységesített betéti kamatláb mutatót (a továbbiakban: EBKM) is ki kell számítania, és azt a jogszabályban meghatározott módon közzé kell tennie.  Az EBKM r. értelmében rögzítjük, hogy lakás-takarékpénztár esetén a kereskedelmi kommunikációban az EBKM értékét havi 20 000 forint folyamatos betételhelyezést feltételezve kell meghatározni.   </w:t>
      </w:r>
    </w:p>
  </w:footnote>
  <w:footnote w:id="5">
    <w:p w:rsidR="00832E9C" w:rsidRPr="005668D8" w:rsidRDefault="00832E9C" w:rsidP="00591F9B">
      <w:pPr>
        <w:jc w:val="both"/>
        <w:rPr>
          <w:sz w:val="20"/>
          <w:szCs w:val="20"/>
        </w:rPr>
      </w:pPr>
      <w:r w:rsidRPr="007F5EC0">
        <w:rPr>
          <w:rStyle w:val="Lbjegyzet-hivatkozs"/>
          <w:sz w:val="20"/>
          <w:szCs w:val="20"/>
        </w:rPr>
        <w:footnoteRef/>
      </w:r>
      <w:r w:rsidRPr="00C8536C">
        <w:rPr>
          <w:sz w:val="20"/>
          <w:szCs w:val="20"/>
        </w:rPr>
        <w:t xml:space="preserve"> </w:t>
      </w:r>
      <w:r w:rsidRPr="005668D8">
        <w:rPr>
          <w:sz w:val="20"/>
          <w:szCs w:val="20"/>
        </w:rPr>
        <w:t>A Fundamenta-Lakáskassza Zrt. a teljes hiteldíj mutató meghatározásakor</w:t>
      </w:r>
      <w:r w:rsidRPr="009D4932">
        <w:rPr>
          <w:sz w:val="20"/>
          <w:szCs w:val="20"/>
        </w:rPr>
        <w:t>, a teljes hiteldíj mutató meghatározásáról, számításáról és közzétételéről szóló</w:t>
      </w:r>
      <w:r w:rsidRPr="005668D8">
        <w:rPr>
          <w:sz w:val="20"/>
          <w:szCs w:val="20"/>
        </w:rPr>
        <w:t xml:space="preserve"> </w:t>
      </w:r>
      <w:r w:rsidRPr="009D4932">
        <w:rPr>
          <w:sz w:val="20"/>
          <w:szCs w:val="20"/>
        </w:rPr>
        <w:t xml:space="preserve">83/2010. (III. 25.) Korm. r. (továbbiakban Korm. r.) 9. § (3) </w:t>
      </w:r>
      <w:proofErr w:type="spellStart"/>
      <w:r w:rsidRPr="009D4932">
        <w:rPr>
          <w:sz w:val="20"/>
          <w:szCs w:val="20"/>
        </w:rPr>
        <w:t>bek</w:t>
      </w:r>
      <w:proofErr w:type="spellEnd"/>
      <w:r w:rsidRPr="009D4932">
        <w:rPr>
          <w:sz w:val="20"/>
          <w:szCs w:val="20"/>
        </w:rPr>
        <w:t xml:space="preserve">. </w:t>
      </w:r>
      <w:proofErr w:type="gramStart"/>
      <w:r w:rsidRPr="009D4932">
        <w:rPr>
          <w:sz w:val="20"/>
          <w:szCs w:val="20"/>
        </w:rPr>
        <w:t>alapján</w:t>
      </w:r>
      <w:proofErr w:type="gramEnd"/>
      <w:r w:rsidRPr="009D4932">
        <w:rPr>
          <w:sz w:val="20"/>
          <w:szCs w:val="20"/>
        </w:rPr>
        <w:t xml:space="preserve"> a </w:t>
      </w:r>
      <w:r>
        <w:rPr>
          <w:sz w:val="20"/>
          <w:szCs w:val="20"/>
        </w:rPr>
        <w:t xml:space="preserve"> </w:t>
      </w:r>
      <w:r w:rsidRPr="005668D8">
        <w:rPr>
          <w:sz w:val="20"/>
          <w:szCs w:val="20"/>
        </w:rPr>
        <w:t>legközelebbi - a hiteltípusra létező - összeget és futamidőt</w:t>
      </w:r>
      <w:r>
        <w:rPr>
          <w:sz w:val="20"/>
          <w:szCs w:val="20"/>
        </w:rPr>
        <w:t xml:space="preserve"> </w:t>
      </w:r>
      <w:r w:rsidRPr="005668D8">
        <w:rPr>
          <w:sz w:val="20"/>
          <w:szCs w:val="20"/>
        </w:rPr>
        <w:t xml:space="preserve">vette figyelembe. </w:t>
      </w:r>
    </w:p>
    <w:p w:rsidR="00832E9C" w:rsidRDefault="00832E9C" w:rsidP="005668D8">
      <w:pPr>
        <w:pStyle w:val="Default"/>
        <w:jc w:val="both"/>
      </w:pPr>
      <w:r>
        <w:rPr>
          <w:sz w:val="20"/>
          <w:szCs w:val="20"/>
        </w:rPr>
        <w:t xml:space="preserve">A fogyasztónak nyújtott hitelről szóló 2009. évi CLXII. törvény (továbbiakban Ftv.) 3. § 20. pontja szerint, a teljes hiteldíj mutató </w:t>
      </w:r>
      <w:r>
        <w:rPr>
          <w:i/>
          <w:iCs/>
          <w:sz w:val="20"/>
          <w:szCs w:val="20"/>
        </w:rPr>
        <w:t>(THM)</w:t>
      </w:r>
      <w:r>
        <w:rPr>
          <w:sz w:val="20"/>
          <w:szCs w:val="20"/>
        </w:rPr>
        <w:t xml:space="preserve">: a hitel teljes díjának aránya a hitel teljes összegéhez éves százalékában kifejezve. Az Ftv. 3. § 10. pontja szerint a hitel teljes díja: a hitelező által ismert minden olyan - a teljes hiteldíj mutató számításánál a külön jogszabály szerint figyelembe veendő - ellenszolgáltatás, amelyet a fogyasztó a hitelszerződés kapcsán megfizet. A Korm. rendelet 3. </w:t>
      </w:r>
      <w:proofErr w:type="gramStart"/>
      <w:r>
        <w:rPr>
          <w:sz w:val="20"/>
          <w:szCs w:val="20"/>
        </w:rPr>
        <w:t xml:space="preserve">§ (1) bekezdése szerint </w:t>
      </w:r>
      <w:r>
        <w:rPr>
          <w:i/>
          <w:iCs/>
          <w:sz w:val="20"/>
          <w:szCs w:val="20"/>
        </w:rPr>
        <w:t>a teljes hiteldíj mutató</w:t>
      </w:r>
      <w:r>
        <w:rPr>
          <w:sz w:val="20"/>
          <w:szCs w:val="20"/>
        </w:rPr>
        <w:t xml:space="preserve"> (a továbbiakban: THM) számításánál figyelembe kell venni a fogyasztó által a hitelszerződés és a lízingszerződés (a továbbiakban együtt: hitelszerződés) kapcsán fizetendő összes díjat </w:t>
      </w:r>
      <w:r>
        <w:rPr>
          <w:i/>
          <w:iCs/>
          <w:sz w:val="20"/>
          <w:szCs w:val="20"/>
        </w:rPr>
        <w:t>(ideértve a kamatot, díjat, jutalékot, költséget és adót)</w:t>
      </w:r>
      <w:r>
        <w:rPr>
          <w:sz w:val="20"/>
          <w:szCs w:val="20"/>
        </w:rPr>
        <w:t>, valamint a hitelhez kapcsolódó járulékos szolgáltatások költségeit, ha a hitelező vagy a lízingbe adó (a továbbiakban együtt: hitelező) számára ismertek, továbbá a szolgáltatás igénybevételét a hitelszerződés megkötéséhez vagy ajánlat szerinti megkötéséhez a hitelező előírja.</w:t>
      </w:r>
      <w:proofErr w:type="gramEnd"/>
      <w:r>
        <w:rPr>
          <w:sz w:val="20"/>
          <w:szCs w:val="20"/>
        </w:rPr>
        <w:t xml:space="preserve"> Az induló THM a Fundamenta-Lakáskassza Zrt. szerződéskötéskor érvényes ügyleti kamatlába, valamint a szerződéskötéskor ismert, felmerülő költségek figyelembevételével kerül kiszámításra. A THM meghatározása az aktuális feltételek és a hatályos jogszabályok figyelembevételével történt, a feltételek változása esetén a mértéke módosulhat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700C"/>
    <w:multiLevelType w:val="hybridMultilevel"/>
    <w:tmpl w:val="D4B2413C"/>
    <w:lvl w:ilvl="0" w:tplc="1A0CC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D8CE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D7F47"/>
    <w:multiLevelType w:val="hybridMultilevel"/>
    <w:tmpl w:val="551A348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6125D3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831788"/>
    <w:multiLevelType w:val="hybridMultilevel"/>
    <w:tmpl w:val="D28AA04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517EEE"/>
    <w:multiLevelType w:val="hybridMultilevel"/>
    <w:tmpl w:val="F3B297C2"/>
    <w:lvl w:ilvl="0" w:tplc="1A0CC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D8CE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42762"/>
    <w:multiLevelType w:val="hybridMultilevel"/>
    <w:tmpl w:val="1A34803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8B04FF"/>
    <w:multiLevelType w:val="hybridMultilevel"/>
    <w:tmpl w:val="DE447002"/>
    <w:lvl w:ilvl="0" w:tplc="13E0BB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A0F68"/>
    <w:multiLevelType w:val="hybridMultilevel"/>
    <w:tmpl w:val="061CCB12"/>
    <w:lvl w:ilvl="0" w:tplc="662ABD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32D3D"/>
    <w:multiLevelType w:val="hybridMultilevel"/>
    <w:tmpl w:val="78667400"/>
    <w:lvl w:ilvl="0" w:tplc="13E0BB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61015"/>
    <w:multiLevelType w:val="hybridMultilevel"/>
    <w:tmpl w:val="7772D9A0"/>
    <w:lvl w:ilvl="0" w:tplc="600079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897E8D"/>
    <w:multiLevelType w:val="hybridMultilevel"/>
    <w:tmpl w:val="71A648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AB76F"/>
    <w:multiLevelType w:val="hybridMultilevel"/>
    <w:tmpl w:val="52A9F8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9D3330F"/>
    <w:multiLevelType w:val="hybridMultilevel"/>
    <w:tmpl w:val="F9A838C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A96C2F"/>
    <w:multiLevelType w:val="hybridMultilevel"/>
    <w:tmpl w:val="3DE633C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2790932"/>
    <w:multiLevelType w:val="hybridMultilevel"/>
    <w:tmpl w:val="FFB801B4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2D3C3B"/>
    <w:multiLevelType w:val="hybridMultilevel"/>
    <w:tmpl w:val="E52447A0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9"/>
  </w:num>
  <w:num w:numId="6">
    <w:abstractNumId w:val="5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13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72"/>
    <w:rsid w:val="00002BD2"/>
    <w:rsid w:val="000050F3"/>
    <w:rsid w:val="0000734D"/>
    <w:rsid w:val="000249A7"/>
    <w:rsid w:val="00026E68"/>
    <w:rsid w:val="00026FAB"/>
    <w:rsid w:val="00042AAE"/>
    <w:rsid w:val="00065534"/>
    <w:rsid w:val="00076EA4"/>
    <w:rsid w:val="00081C77"/>
    <w:rsid w:val="000A27AA"/>
    <w:rsid w:val="000A3F0A"/>
    <w:rsid w:val="000A48C1"/>
    <w:rsid w:val="000B0B9D"/>
    <w:rsid w:val="000C5CB7"/>
    <w:rsid w:val="000C619C"/>
    <w:rsid w:val="000C6942"/>
    <w:rsid w:val="000C6FAD"/>
    <w:rsid w:val="000D2906"/>
    <w:rsid w:val="000D621A"/>
    <w:rsid w:val="000E038B"/>
    <w:rsid w:val="000E15A4"/>
    <w:rsid w:val="000E27DB"/>
    <w:rsid w:val="000E682E"/>
    <w:rsid w:val="000F397C"/>
    <w:rsid w:val="00102EE8"/>
    <w:rsid w:val="00104401"/>
    <w:rsid w:val="001218B3"/>
    <w:rsid w:val="00134EA9"/>
    <w:rsid w:val="00135B4D"/>
    <w:rsid w:val="00141BF6"/>
    <w:rsid w:val="00162F74"/>
    <w:rsid w:val="0016641E"/>
    <w:rsid w:val="00172A6B"/>
    <w:rsid w:val="00187B43"/>
    <w:rsid w:val="001A5E6D"/>
    <w:rsid w:val="001A750B"/>
    <w:rsid w:val="001B0710"/>
    <w:rsid w:val="001B1049"/>
    <w:rsid w:val="001C0B56"/>
    <w:rsid w:val="001C167E"/>
    <w:rsid w:val="001C7434"/>
    <w:rsid w:val="001E226E"/>
    <w:rsid w:val="001E6352"/>
    <w:rsid w:val="001E68CA"/>
    <w:rsid w:val="001F21E2"/>
    <w:rsid w:val="001F6EC4"/>
    <w:rsid w:val="00202F8A"/>
    <w:rsid w:val="00203845"/>
    <w:rsid w:val="00210328"/>
    <w:rsid w:val="0021379C"/>
    <w:rsid w:val="00214EF7"/>
    <w:rsid w:val="00226BA9"/>
    <w:rsid w:val="00231BBF"/>
    <w:rsid w:val="00233AE0"/>
    <w:rsid w:val="002460BB"/>
    <w:rsid w:val="0024658A"/>
    <w:rsid w:val="00251DC2"/>
    <w:rsid w:val="00254DDB"/>
    <w:rsid w:val="00282777"/>
    <w:rsid w:val="002870DB"/>
    <w:rsid w:val="002969E0"/>
    <w:rsid w:val="002A053B"/>
    <w:rsid w:val="002A0F6F"/>
    <w:rsid w:val="002A1731"/>
    <w:rsid w:val="002A381F"/>
    <w:rsid w:val="002C1B29"/>
    <w:rsid w:val="002D5A15"/>
    <w:rsid w:val="002E5A80"/>
    <w:rsid w:val="002F0690"/>
    <w:rsid w:val="002F5A7B"/>
    <w:rsid w:val="003215CB"/>
    <w:rsid w:val="003268BB"/>
    <w:rsid w:val="00335257"/>
    <w:rsid w:val="0036356D"/>
    <w:rsid w:val="003708A8"/>
    <w:rsid w:val="0037691C"/>
    <w:rsid w:val="00380486"/>
    <w:rsid w:val="0038762F"/>
    <w:rsid w:val="00387997"/>
    <w:rsid w:val="003B0357"/>
    <w:rsid w:val="003B4318"/>
    <w:rsid w:val="003B667F"/>
    <w:rsid w:val="003C2C5C"/>
    <w:rsid w:val="003E0CB9"/>
    <w:rsid w:val="003F7F00"/>
    <w:rsid w:val="004022B0"/>
    <w:rsid w:val="00410A32"/>
    <w:rsid w:val="00415D63"/>
    <w:rsid w:val="00425A00"/>
    <w:rsid w:val="004472DF"/>
    <w:rsid w:val="00470ABA"/>
    <w:rsid w:val="00471B53"/>
    <w:rsid w:val="00481B9E"/>
    <w:rsid w:val="004856D4"/>
    <w:rsid w:val="0049720F"/>
    <w:rsid w:val="004A6756"/>
    <w:rsid w:val="004B33E9"/>
    <w:rsid w:val="004D647F"/>
    <w:rsid w:val="004F095E"/>
    <w:rsid w:val="00504F02"/>
    <w:rsid w:val="005165C8"/>
    <w:rsid w:val="005221A9"/>
    <w:rsid w:val="00526781"/>
    <w:rsid w:val="00565947"/>
    <w:rsid w:val="005660C7"/>
    <w:rsid w:val="005668D8"/>
    <w:rsid w:val="0057763D"/>
    <w:rsid w:val="00591F9B"/>
    <w:rsid w:val="005A17BB"/>
    <w:rsid w:val="005B3310"/>
    <w:rsid w:val="005B630D"/>
    <w:rsid w:val="005C0B84"/>
    <w:rsid w:val="005C4D95"/>
    <w:rsid w:val="005C62D5"/>
    <w:rsid w:val="005D1B0D"/>
    <w:rsid w:val="005F6688"/>
    <w:rsid w:val="005F6A2D"/>
    <w:rsid w:val="006042ED"/>
    <w:rsid w:val="0060756C"/>
    <w:rsid w:val="00611255"/>
    <w:rsid w:val="00614D48"/>
    <w:rsid w:val="00616169"/>
    <w:rsid w:val="0062387A"/>
    <w:rsid w:val="00623C80"/>
    <w:rsid w:val="00632A8A"/>
    <w:rsid w:val="00633F20"/>
    <w:rsid w:val="006378BD"/>
    <w:rsid w:val="00645A19"/>
    <w:rsid w:val="006547B9"/>
    <w:rsid w:val="00681DAD"/>
    <w:rsid w:val="0069372F"/>
    <w:rsid w:val="006A0A01"/>
    <w:rsid w:val="006A0E4E"/>
    <w:rsid w:val="006A1DD1"/>
    <w:rsid w:val="006A7B33"/>
    <w:rsid w:val="006B5092"/>
    <w:rsid w:val="006C07AC"/>
    <w:rsid w:val="006C419B"/>
    <w:rsid w:val="006C4C0C"/>
    <w:rsid w:val="006C4E55"/>
    <w:rsid w:val="006D5EA8"/>
    <w:rsid w:val="006E54B2"/>
    <w:rsid w:val="007026BC"/>
    <w:rsid w:val="007059B4"/>
    <w:rsid w:val="00744D47"/>
    <w:rsid w:val="0075630F"/>
    <w:rsid w:val="00763282"/>
    <w:rsid w:val="0076352F"/>
    <w:rsid w:val="00792372"/>
    <w:rsid w:val="007B0D1E"/>
    <w:rsid w:val="007B0E73"/>
    <w:rsid w:val="007C7874"/>
    <w:rsid w:val="007F0BAE"/>
    <w:rsid w:val="007F37C5"/>
    <w:rsid w:val="007F5EC0"/>
    <w:rsid w:val="008011E0"/>
    <w:rsid w:val="008222EB"/>
    <w:rsid w:val="0082617D"/>
    <w:rsid w:val="00827740"/>
    <w:rsid w:val="00827FB1"/>
    <w:rsid w:val="00830654"/>
    <w:rsid w:val="00832E9C"/>
    <w:rsid w:val="00840911"/>
    <w:rsid w:val="008449D1"/>
    <w:rsid w:val="00847251"/>
    <w:rsid w:val="00856276"/>
    <w:rsid w:val="008565E7"/>
    <w:rsid w:val="008620BC"/>
    <w:rsid w:val="008C1355"/>
    <w:rsid w:val="008C5303"/>
    <w:rsid w:val="008E7732"/>
    <w:rsid w:val="008F26E3"/>
    <w:rsid w:val="008F56B0"/>
    <w:rsid w:val="00907E14"/>
    <w:rsid w:val="00912D40"/>
    <w:rsid w:val="009208D8"/>
    <w:rsid w:val="00941219"/>
    <w:rsid w:val="009521FB"/>
    <w:rsid w:val="00953E19"/>
    <w:rsid w:val="00960CCB"/>
    <w:rsid w:val="0097207C"/>
    <w:rsid w:val="00977DE3"/>
    <w:rsid w:val="00996405"/>
    <w:rsid w:val="009D0BE9"/>
    <w:rsid w:val="009D2242"/>
    <w:rsid w:val="009D4072"/>
    <w:rsid w:val="009D4932"/>
    <w:rsid w:val="009D697E"/>
    <w:rsid w:val="009E5E7C"/>
    <w:rsid w:val="00A036E4"/>
    <w:rsid w:val="00A239DD"/>
    <w:rsid w:val="00A3277C"/>
    <w:rsid w:val="00A33213"/>
    <w:rsid w:val="00A363AA"/>
    <w:rsid w:val="00A374BD"/>
    <w:rsid w:val="00A37FE9"/>
    <w:rsid w:val="00A42718"/>
    <w:rsid w:val="00A719A7"/>
    <w:rsid w:val="00A738B3"/>
    <w:rsid w:val="00A816D9"/>
    <w:rsid w:val="00A8543A"/>
    <w:rsid w:val="00A8546A"/>
    <w:rsid w:val="00A855B4"/>
    <w:rsid w:val="00A91528"/>
    <w:rsid w:val="00AE428A"/>
    <w:rsid w:val="00AE4635"/>
    <w:rsid w:val="00AF1B58"/>
    <w:rsid w:val="00B030CD"/>
    <w:rsid w:val="00B15D2C"/>
    <w:rsid w:val="00B17ED5"/>
    <w:rsid w:val="00B20977"/>
    <w:rsid w:val="00B227EB"/>
    <w:rsid w:val="00B235E1"/>
    <w:rsid w:val="00B23695"/>
    <w:rsid w:val="00B3681D"/>
    <w:rsid w:val="00B37DB1"/>
    <w:rsid w:val="00B558EB"/>
    <w:rsid w:val="00B6776C"/>
    <w:rsid w:val="00B71885"/>
    <w:rsid w:val="00B76105"/>
    <w:rsid w:val="00B946BD"/>
    <w:rsid w:val="00B964E7"/>
    <w:rsid w:val="00BA748F"/>
    <w:rsid w:val="00BB613E"/>
    <w:rsid w:val="00BB7EA1"/>
    <w:rsid w:val="00BC449E"/>
    <w:rsid w:val="00BD207D"/>
    <w:rsid w:val="00BF374E"/>
    <w:rsid w:val="00C00CB1"/>
    <w:rsid w:val="00C02237"/>
    <w:rsid w:val="00C23337"/>
    <w:rsid w:val="00C40D36"/>
    <w:rsid w:val="00C42563"/>
    <w:rsid w:val="00C460D3"/>
    <w:rsid w:val="00C4721B"/>
    <w:rsid w:val="00C724DF"/>
    <w:rsid w:val="00C737A9"/>
    <w:rsid w:val="00C82A82"/>
    <w:rsid w:val="00C8536C"/>
    <w:rsid w:val="00C96C22"/>
    <w:rsid w:val="00CB6F18"/>
    <w:rsid w:val="00CC0990"/>
    <w:rsid w:val="00CC3ED9"/>
    <w:rsid w:val="00CC435E"/>
    <w:rsid w:val="00CD0206"/>
    <w:rsid w:val="00CD26B2"/>
    <w:rsid w:val="00CE6951"/>
    <w:rsid w:val="00CE7337"/>
    <w:rsid w:val="00CF012D"/>
    <w:rsid w:val="00D01252"/>
    <w:rsid w:val="00D015E3"/>
    <w:rsid w:val="00D07549"/>
    <w:rsid w:val="00D12971"/>
    <w:rsid w:val="00D22B0B"/>
    <w:rsid w:val="00D25809"/>
    <w:rsid w:val="00D33E03"/>
    <w:rsid w:val="00D40007"/>
    <w:rsid w:val="00D43816"/>
    <w:rsid w:val="00D474D0"/>
    <w:rsid w:val="00D50ED2"/>
    <w:rsid w:val="00D51C93"/>
    <w:rsid w:val="00D55B34"/>
    <w:rsid w:val="00D57EB4"/>
    <w:rsid w:val="00D63B88"/>
    <w:rsid w:val="00D86B8B"/>
    <w:rsid w:val="00D966AE"/>
    <w:rsid w:val="00DA2D71"/>
    <w:rsid w:val="00DB34BB"/>
    <w:rsid w:val="00DB355B"/>
    <w:rsid w:val="00DC0581"/>
    <w:rsid w:val="00DD3866"/>
    <w:rsid w:val="00DF2073"/>
    <w:rsid w:val="00E03825"/>
    <w:rsid w:val="00E04815"/>
    <w:rsid w:val="00E04EFC"/>
    <w:rsid w:val="00E05914"/>
    <w:rsid w:val="00E147F6"/>
    <w:rsid w:val="00E2163B"/>
    <w:rsid w:val="00E23161"/>
    <w:rsid w:val="00E32859"/>
    <w:rsid w:val="00E40D4D"/>
    <w:rsid w:val="00E42553"/>
    <w:rsid w:val="00E430F1"/>
    <w:rsid w:val="00E81996"/>
    <w:rsid w:val="00E95E7C"/>
    <w:rsid w:val="00EA36A8"/>
    <w:rsid w:val="00EC5E77"/>
    <w:rsid w:val="00ED3729"/>
    <w:rsid w:val="00ED3AEB"/>
    <w:rsid w:val="00EF1397"/>
    <w:rsid w:val="00EF324C"/>
    <w:rsid w:val="00F0249A"/>
    <w:rsid w:val="00F10C32"/>
    <w:rsid w:val="00F23D17"/>
    <w:rsid w:val="00F30A2E"/>
    <w:rsid w:val="00F44751"/>
    <w:rsid w:val="00F46200"/>
    <w:rsid w:val="00F465A2"/>
    <w:rsid w:val="00F518E5"/>
    <w:rsid w:val="00F51B80"/>
    <w:rsid w:val="00F54FFC"/>
    <w:rsid w:val="00F6704E"/>
    <w:rsid w:val="00F67CE9"/>
    <w:rsid w:val="00F67EE1"/>
    <w:rsid w:val="00F720B0"/>
    <w:rsid w:val="00F72D50"/>
    <w:rsid w:val="00F970AB"/>
    <w:rsid w:val="00FB0EA8"/>
    <w:rsid w:val="00FB1324"/>
    <w:rsid w:val="00FB37D7"/>
    <w:rsid w:val="00FB46BF"/>
    <w:rsid w:val="00FB6FC9"/>
    <w:rsid w:val="00FC69A5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TJ2">
    <w:name w:val="toc 2"/>
    <w:basedOn w:val="Norml"/>
    <w:next w:val="Norml"/>
    <w:autoRedefine/>
    <w:semiHidden/>
    <w:rsid w:val="00EF1397"/>
    <w:pPr>
      <w:tabs>
        <w:tab w:val="left" w:pos="720"/>
        <w:tab w:val="right" w:leader="dot" w:pos="9060"/>
      </w:tabs>
      <w:spacing w:before="120"/>
      <w:ind w:left="170"/>
    </w:pPr>
    <w:rPr>
      <w:bCs/>
    </w:rPr>
  </w:style>
  <w:style w:type="paragraph" w:styleId="TJ3">
    <w:name w:val="toc 3"/>
    <w:basedOn w:val="Norml"/>
    <w:next w:val="Norml"/>
    <w:autoRedefine/>
    <w:semiHidden/>
    <w:rsid w:val="00EF1397"/>
    <w:pPr>
      <w:spacing w:before="120"/>
      <w:ind w:left="284"/>
    </w:pPr>
  </w:style>
  <w:style w:type="paragraph" w:styleId="Lbjegyzetszveg">
    <w:name w:val="footnote text"/>
    <w:basedOn w:val="Norml"/>
    <w:semiHidden/>
    <w:rsid w:val="00B17ED5"/>
    <w:rPr>
      <w:sz w:val="20"/>
      <w:szCs w:val="20"/>
    </w:rPr>
  </w:style>
  <w:style w:type="character" w:styleId="Lbjegyzet-hivatkozs">
    <w:name w:val="footnote reference"/>
    <w:semiHidden/>
    <w:rsid w:val="00B17ED5"/>
    <w:rPr>
      <w:vertAlign w:val="superscript"/>
    </w:rPr>
  </w:style>
  <w:style w:type="paragraph" w:styleId="Buborkszveg">
    <w:name w:val="Balloon Text"/>
    <w:basedOn w:val="Norml"/>
    <w:semiHidden/>
    <w:rsid w:val="008C530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50ED2"/>
    <w:pPr>
      <w:ind w:left="708"/>
    </w:pPr>
  </w:style>
  <w:style w:type="paragraph" w:customStyle="1" w:styleId="Default">
    <w:name w:val="Default"/>
    <w:uiPriority w:val="99"/>
    <w:rsid w:val="00F67E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fej">
    <w:name w:val="header"/>
    <w:basedOn w:val="Norml"/>
    <w:link w:val="lfejChar"/>
    <w:rsid w:val="000E038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E038B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0E038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E038B"/>
    <w:rPr>
      <w:sz w:val="24"/>
      <w:szCs w:val="24"/>
    </w:rPr>
  </w:style>
  <w:style w:type="table" w:styleId="Rcsostblzat">
    <w:name w:val="Table Grid"/>
    <w:basedOn w:val="Normltblzat"/>
    <w:rsid w:val="000E0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rsid w:val="005F668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F668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F6688"/>
  </w:style>
  <w:style w:type="paragraph" w:styleId="Megjegyzstrgya">
    <w:name w:val="annotation subject"/>
    <w:basedOn w:val="Jegyzetszveg"/>
    <w:next w:val="Jegyzetszveg"/>
    <w:link w:val="MegjegyzstrgyaChar"/>
    <w:rsid w:val="005F6688"/>
    <w:rPr>
      <w:b/>
      <w:bCs/>
    </w:rPr>
  </w:style>
  <w:style w:type="character" w:customStyle="1" w:styleId="MegjegyzstrgyaChar">
    <w:name w:val="Megjegyzés tárgya Char"/>
    <w:link w:val="Megjegyzstrgya"/>
    <w:rsid w:val="005F6688"/>
    <w:rPr>
      <w:b/>
      <w:bCs/>
    </w:rPr>
  </w:style>
  <w:style w:type="paragraph" w:styleId="Vgjegyzetszvege">
    <w:name w:val="endnote text"/>
    <w:basedOn w:val="Norml"/>
    <w:link w:val="VgjegyzetszvegeChar"/>
    <w:rsid w:val="005F6A2D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5F6A2D"/>
  </w:style>
  <w:style w:type="character" w:styleId="Vgjegyzet-hivatkozs">
    <w:name w:val="endnote reference"/>
    <w:rsid w:val="005F6A2D"/>
    <w:rPr>
      <w:vertAlign w:val="superscript"/>
    </w:rPr>
  </w:style>
  <w:style w:type="character" w:styleId="Hiperhivatkozs">
    <w:name w:val="Hyperlink"/>
    <w:rsid w:val="005F6A2D"/>
    <w:rPr>
      <w:color w:val="0000FF"/>
      <w:u w:val="single"/>
    </w:rPr>
  </w:style>
  <w:style w:type="character" w:styleId="Mrltotthiperhivatkozs">
    <w:name w:val="FollowedHyperlink"/>
    <w:rsid w:val="005F6A2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TJ2">
    <w:name w:val="toc 2"/>
    <w:basedOn w:val="Norml"/>
    <w:next w:val="Norml"/>
    <w:autoRedefine/>
    <w:semiHidden/>
    <w:rsid w:val="00EF1397"/>
    <w:pPr>
      <w:tabs>
        <w:tab w:val="left" w:pos="720"/>
        <w:tab w:val="right" w:leader="dot" w:pos="9060"/>
      </w:tabs>
      <w:spacing w:before="120"/>
      <w:ind w:left="170"/>
    </w:pPr>
    <w:rPr>
      <w:bCs/>
    </w:rPr>
  </w:style>
  <w:style w:type="paragraph" w:styleId="TJ3">
    <w:name w:val="toc 3"/>
    <w:basedOn w:val="Norml"/>
    <w:next w:val="Norml"/>
    <w:autoRedefine/>
    <w:semiHidden/>
    <w:rsid w:val="00EF1397"/>
    <w:pPr>
      <w:spacing w:before="120"/>
      <w:ind w:left="284"/>
    </w:pPr>
  </w:style>
  <w:style w:type="paragraph" w:styleId="Lbjegyzetszveg">
    <w:name w:val="footnote text"/>
    <w:basedOn w:val="Norml"/>
    <w:semiHidden/>
    <w:rsid w:val="00B17ED5"/>
    <w:rPr>
      <w:sz w:val="20"/>
      <w:szCs w:val="20"/>
    </w:rPr>
  </w:style>
  <w:style w:type="character" w:styleId="Lbjegyzet-hivatkozs">
    <w:name w:val="footnote reference"/>
    <w:semiHidden/>
    <w:rsid w:val="00B17ED5"/>
    <w:rPr>
      <w:vertAlign w:val="superscript"/>
    </w:rPr>
  </w:style>
  <w:style w:type="paragraph" w:styleId="Buborkszveg">
    <w:name w:val="Balloon Text"/>
    <w:basedOn w:val="Norml"/>
    <w:semiHidden/>
    <w:rsid w:val="008C530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50ED2"/>
    <w:pPr>
      <w:ind w:left="708"/>
    </w:pPr>
  </w:style>
  <w:style w:type="paragraph" w:customStyle="1" w:styleId="Default">
    <w:name w:val="Default"/>
    <w:uiPriority w:val="99"/>
    <w:rsid w:val="00F67E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fej">
    <w:name w:val="header"/>
    <w:basedOn w:val="Norml"/>
    <w:link w:val="lfejChar"/>
    <w:rsid w:val="000E038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E038B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0E038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E038B"/>
    <w:rPr>
      <w:sz w:val="24"/>
      <w:szCs w:val="24"/>
    </w:rPr>
  </w:style>
  <w:style w:type="table" w:styleId="Rcsostblzat">
    <w:name w:val="Table Grid"/>
    <w:basedOn w:val="Normltblzat"/>
    <w:rsid w:val="000E0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rsid w:val="005F668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F668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F6688"/>
  </w:style>
  <w:style w:type="paragraph" w:styleId="Megjegyzstrgya">
    <w:name w:val="annotation subject"/>
    <w:basedOn w:val="Jegyzetszveg"/>
    <w:next w:val="Jegyzetszveg"/>
    <w:link w:val="MegjegyzstrgyaChar"/>
    <w:rsid w:val="005F6688"/>
    <w:rPr>
      <w:b/>
      <w:bCs/>
    </w:rPr>
  </w:style>
  <w:style w:type="character" w:customStyle="1" w:styleId="MegjegyzstrgyaChar">
    <w:name w:val="Megjegyzés tárgya Char"/>
    <w:link w:val="Megjegyzstrgya"/>
    <w:rsid w:val="005F6688"/>
    <w:rPr>
      <w:b/>
      <w:bCs/>
    </w:rPr>
  </w:style>
  <w:style w:type="paragraph" w:styleId="Vgjegyzetszvege">
    <w:name w:val="endnote text"/>
    <w:basedOn w:val="Norml"/>
    <w:link w:val="VgjegyzetszvegeChar"/>
    <w:rsid w:val="005F6A2D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5F6A2D"/>
  </w:style>
  <w:style w:type="character" w:styleId="Vgjegyzet-hivatkozs">
    <w:name w:val="endnote reference"/>
    <w:rsid w:val="005F6A2D"/>
    <w:rPr>
      <w:vertAlign w:val="superscript"/>
    </w:rPr>
  </w:style>
  <w:style w:type="character" w:styleId="Hiperhivatkozs">
    <w:name w:val="Hyperlink"/>
    <w:rsid w:val="005F6A2D"/>
    <w:rPr>
      <w:color w:val="0000FF"/>
      <w:u w:val="single"/>
    </w:rPr>
  </w:style>
  <w:style w:type="character" w:styleId="Mrltotthiperhivatkozs">
    <w:name w:val="FollowedHyperlink"/>
    <w:rsid w:val="005F6A2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8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undamenta.h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ment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AD3F0-D76E-4BB0-8670-B7C7D6EA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4223</Characters>
  <Application>Microsoft Office Word</Application>
  <DocSecurity>4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az állami támogatást kapó</vt:lpstr>
    </vt:vector>
  </TitlesOfParts>
  <Company>Fundamenta-Lakáskassza Rt.</Company>
  <LinksUpToDate>false</LinksUpToDate>
  <CharactersWithSpaces>4825</CharactersWithSpaces>
  <SharedDoc>false</SharedDoc>
  <HLinks>
    <vt:vector size="12" baseType="variant">
      <vt:variant>
        <vt:i4>524363</vt:i4>
      </vt:variant>
      <vt:variant>
        <vt:i4>0</vt:i4>
      </vt:variant>
      <vt:variant>
        <vt:i4>0</vt:i4>
      </vt:variant>
      <vt:variant>
        <vt:i4>5</vt:i4>
      </vt:variant>
      <vt:variant>
        <vt:lpwstr>http://www.fundamenta.hu/</vt:lpwstr>
      </vt:variant>
      <vt:variant>
        <vt:lpwstr/>
      </vt:variant>
      <vt:variant>
        <vt:i4>524363</vt:i4>
      </vt:variant>
      <vt:variant>
        <vt:i4>0</vt:i4>
      </vt:variant>
      <vt:variant>
        <vt:i4>0</vt:i4>
      </vt:variant>
      <vt:variant>
        <vt:i4>5</vt:i4>
      </vt:variant>
      <vt:variant>
        <vt:lpwstr>http://www.fundamenta.hu/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az állami támogatást kapó</dc:title>
  <dc:creator>nyaand</dc:creator>
  <cp:lastModifiedBy>Vicze Balázs</cp:lastModifiedBy>
  <cp:revision>2</cp:revision>
  <cp:lastPrinted>2013-03-20T15:23:00Z</cp:lastPrinted>
  <dcterms:created xsi:type="dcterms:W3CDTF">2013-06-17T08:31:00Z</dcterms:created>
  <dcterms:modified xsi:type="dcterms:W3CDTF">2013-06-17T08:31:00Z</dcterms:modified>
</cp:coreProperties>
</file>