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756848" w:rsidTr="00E218EF">
        <w:tc>
          <w:tcPr>
            <w:tcW w:w="10916" w:type="dxa"/>
          </w:tcPr>
          <w:p w:rsidR="00756848" w:rsidRDefault="00E218EF" w:rsidP="00E218EF">
            <w:pPr>
              <w:ind w:left="-108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351E59B" wp14:editId="77E228F9">
                  <wp:extent cx="6940353" cy="20066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9714" cy="200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8" w:rsidTr="00E218EF">
        <w:trPr>
          <w:trHeight w:val="9882"/>
        </w:trPr>
        <w:tc>
          <w:tcPr>
            <w:tcW w:w="10916" w:type="dxa"/>
          </w:tcPr>
          <w:p w:rsidR="00756848" w:rsidRDefault="00756848" w:rsidP="00756848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2014/10.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szám</w:t>
            </w:r>
            <w:proofErr w:type="spellEnd"/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Tisztelt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Partnereink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!</w:t>
            </w:r>
          </w:p>
          <w:p w:rsidR="00756848" w:rsidRDefault="00756848" w:rsidP="0075684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Tájékoztatjuk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Önöket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társaságunk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2014.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július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14-i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hatállyal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módosítja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a GB524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jelű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Groupama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Lakásbiztosítás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és GB527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jelű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Bázis-E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nevű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lakásbiztosítási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termékeinek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tarifáit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.</w:t>
            </w: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6848" w:rsidRDefault="00756848" w:rsidP="00C01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versenyképességünk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fenntartása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szerzés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növelése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érdekében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intézkedéseink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kár,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árvíz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tekintetében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kockázatarányos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veszélyességi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besorolásokat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illetve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biztosított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ingatlan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alapterületétől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függő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módosító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szorzót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vezettünk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módosítás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kedvezmények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összetételét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mértékét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érinti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6848" w:rsidRDefault="00756848" w:rsidP="00756848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▪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2014.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14-én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követően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készített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ajánlatok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esetén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már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díjszabást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alkalmazni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biztosító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Portálján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elérhető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díjszámító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ajánlatkészítő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módosítás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hatályától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tarifa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szerinti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ajánlatot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fogja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VJDK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nevű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off-line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tarifáló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ajánlatkészítő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alkalmazás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frissítése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érdekében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2014.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14-én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megjelenő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verziót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Partner Portál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ismert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menüjéből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tölteni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6848" w:rsidRDefault="00756848" w:rsidP="00756848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▪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</w:p>
          <w:p w:rsidR="00756848" w:rsidRDefault="00756848" w:rsidP="00756848">
            <w:pPr>
              <w:spacing w:line="240" w:lineRule="exact"/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Örömmel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tájékoztatjuk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Önöket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GB 524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Lakásbiztosítás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jövő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héttől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már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társaságunkkal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együttműködésben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álló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informatikai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szolgáltatói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portálokon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Bázisnet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, SK Trend,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Webpiare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elérhető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létrejött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ajánlatok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web-szerviz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technológiának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köszönhetően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biztosító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előírásainak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díjszabásának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mindenben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megfelelnek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bátorítjuk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Önöket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portálok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használatára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6848" w:rsidRDefault="00756848" w:rsidP="00756848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▪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  <w:r>
              <w:rPr>
                <w:rFonts w:ascii="Arial" w:hAnsi="Arial" w:cs="Arial"/>
                <w:color w:val="97B9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B911"/>
                <w:sz w:val="28"/>
                <w:szCs w:val="28"/>
              </w:rPr>
              <w:t>▪</w:t>
            </w:r>
            <w:proofErr w:type="spellEnd"/>
          </w:p>
          <w:p w:rsidR="00756848" w:rsidRDefault="00756848" w:rsidP="00756848">
            <w:pPr>
              <w:spacing w:line="240" w:lineRule="exact"/>
            </w:pPr>
          </w:p>
          <w:p w:rsidR="00756848" w:rsidRDefault="00756848" w:rsidP="00756848">
            <w:pPr>
              <w:spacing w:line="240" w:lineRule="exact"/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szolgáltatói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felületeken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történő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ajánlatkészítés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ösztönzése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érdekében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értékesítési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akciót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indítunk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756848" w:rsidRDefault="00756848" w:rsidP="00756848">
            <w:pPr>
              <w:spacing w:line="240" w:lineRule="exact"/>
            </w:pPr>
          </w:p>
          <w:p w:rsidR="00756848" w:rsidRDefault="00756848" w:rsidP="00756848">
            <w:pPr>
              <w:spacing w:line="240" w:lineRule="exac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Társaságunk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minden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szolgáltatói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portálokon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2014.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augusztus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szeptember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30.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között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felvett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november 15-ig a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díjfizetési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ütemnek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megfelelően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díjjal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rendezett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lakásbiztosítási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szerződés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együttműködési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megállapodás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szerinti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jutalékon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további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akciós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jutalékot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akciós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jutalék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december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elején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esedékes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jutalékelszámolás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alkalmával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kifizetésre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szerződés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hónap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előtt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díjnemfizetés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megszűnik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akciós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jutalék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visszaírásra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4D54" w:rsidRDefault="00664D54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feltételnek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szerződés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2014. november 30-án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sorsoláson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szerencsés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értékesítő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egyszeri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alkalomra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szóló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páros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VIP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jegyet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most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átadott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társaságunk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nevét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Groupama</w:t>
            </w:r>
            <w:proofErr w:type="spellEnd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6267E"/>
                <w:sz w:val="20"/>
                <w:szCs w:val="20"/>
              </w:rPr>
              <w:t>Arénába</w:t>
            </w:r>
            <w:proofErr w:type="spellEnd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 a 2014/2015-ös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szezonban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megrendezésre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kerülő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mérkőzésre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mérkőzés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sorsolást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követően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meghatározásra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Garancia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Biztosító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által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56848" w:rsidRDefault="00756848" w:rsidP="00756848">
            <w:pPr>
              <w:spacing w:line="240" w:lineRule="exact"/>
            </w:pPr>
          </w:p>
          <w:p w:rsidR="00756848" w:rsidRDefault="00756848" w:rsidP="00756848">
            <w:pPr>
              <w:pStyle w:val="default"/>
              <w:spacing w:line="24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56848" w:rsidRDefault="00756848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Sikeres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értékesítést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kívánunk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756848" w:rsidRDefault="00664D54" w:rsidP="0075684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 wp14:anchorId="3A4AC51B" wp14:editId="617875BF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-1082040</wp:posOffset>
                  </wp:positionV>
                  <wp:extent cx="3810635" cy="1809115"/>
                  <wp:effectExtent l="0" t="0" r="0" b="635"/>
                  <wp:wrapSquare wrapText="bothSides"/>
                  <wp:docPr id="1" name="Kép 1" descr="cid:image002.jpg@01CF960B.8F74D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960B.8F74D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848" w:rsidRDefault="00756848" w:rsidP="00756848">
            <w:pPr>
              <w:pStyle w:val="gb-felsorolsalap2"/>
              <w:spacing w:after="0" w:line="24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Üdvözlettel:</w:t>
            </w:r>
          </w:p>
          <w:p w:rsidR="00756848" w:rsidRDefault="00756848" w:rsidP="00756848">
            <w:pPr>
              <w:pStyle w:val="gb-felsorolsalap2"/>
              <w:spacing w:after="0" w:line="240" w:lineRule="exact"/>
              <w:ind w:left="0" w:firstLine="0"/>
            </w:pPr>
          </w:p>
          <w:p w:rsidR="00756848" w:rsidRPr="00783198" w:rsidRDefault="0075684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783198">
              <w:rPr>
                <w:rFonts w:ascii="Arial" w:hAnsi="Arial" w:cs="Arial"/>
                <w:sz w:val="20"/>
                <w:szCs w:val="20"/>
              </w:rPr>
              <w:t>Központi Alkuszi Igazgatóság</w:t>
            </w:r>
          </w:p>
          <w:p w:rsidR="00756848" w:rsidRDefault="00756848" w:rsidP="00756848">
            <w:pPr>
              <w:spacing w:line="240" w:lineRule="exact"/>
            </w:pPr>
          </w:p>
        </w:tc>
      </w:tr>
    </w:tbl>
    <w:p w:rsidR="00756848" w:rsidRDefault="00756848" w:rsidP="00783198">
      <w:pPr>
        <w:spacing w:line="240" w:lineRule="exact"/>
      </w:pPr>
    </w:p>
    <w:sectPr w:rsidR="00756848" w:rsidSect="0078319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8"/>
    <w:rsid w:val="00664D54"/>
    <w:rsid w:val="00756848"/>
    <w:rsid w:val="00783198"/>
    <w:rsid w:val="00C01FA5"/>
    <w:rsid w:val="00CC12F3"/>
    <w:rsid w:val="00E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48"/>
    <w:rPr>
      <w:rFonts w:ascii="Tahoma" w:hAnsi="Tahoma" w:cs="Tahoma"/>
      <w:sz w:val="16"/>
      <w:szCs w:val="16"/>
      <w:lang w:val="sk-SK"/>
    </w:rPr>
  </w:style>
  <w:style w:type="paragraph" w:customStyle="1" w:styleId="gb-felsorolsalap2">
    <w:name w:val="gb-felsorolsalap2"/>
    <w:basedOn w:val="Norml"/>
    <w:rsid w:val="00756848"/>
    <w:pPr>
      <w:spacing w:after="120" w:line="240" w:lineRule="atLeast"/>
      <w:ind w:left="700" w:hanging="360"/>
      <w:jc w:val="both"/>
    </w:pPr>
    <w:rPr>
      <w:rFonts w:ascii="Arial" w:hAnsi="Arial" w:cs="Arial"/>
      <w:sz w:val="18"/>
      <w:szCs w:val="18"/>
      <w:lang w:val="hu-HU" w:eastAsia="hu-HU"/>
    </w:rPr>
  </w:style>
  <w:style w:type="paragraph" w:customStyle="1" w:styleId="default">
    <w:name w:val="default"/>
    <w:basedOn w:val="Norml"/>
    <w:rsid w:val="0075684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75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48"/>
    <w:rPr>
      <w:rFonts w:ascii="Tahoma" w:hAnsi="Tahoma" w:cs="Tahoma"/>
      <w:sz w:val="16"/>
      <w:szCs w:val="16"/>
      <w:lang w:val="sk-SK"/>
    </w:rPr>
  </w:style>
  <w:style w:type="paragraph" w:customStyle="1" w:styleId="gb-felsorolsalap2">
    <w:name w:val="gb-felsorolsalap2"/>
    <w:basedOn w:val="Norml"/>
    <w:rsid w:val="00756848"/>
    <w:pPr>
      <w:spacing w:after="120" w:line="240" w:lineRule="atLeast"/>
      <w:ind w:left="700" w:hanging="360"/>
      <w:jc w:val="both"/>
    </w:pPr>
    <w:rPr>
      <w:rFonts w:ascii="Arial" w:hAnsi="Arial" w:cs="Arial"/>
      <w:sz w:val="18"/>
      <w:szCs w:val="18"/>
      <w:lang w:val="hu-HU" w:eastAsia="hu-HU"/>
    </w:rPr>
  </w:style>
  <w:style w:type="paragraph" w:customStyle="1" w:styleId="default">
    <w:name w:val="default"/>
    <w:basedOn w:val="Norml"/>
    <w:rsid w:val="0075684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75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9B96.A4AE9B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CD34-B16C-4574-8524-859E5F44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Kp_Benkova_Z</dc:creator>
  <cp:lastModifiedBy>Kp_Benkova_Z</cp:lastModifiedBy>
  <cp:revision>2</cp:revision>
  <dcterms:created xsi:type="dcterms:W3CDTF">2014-07-10T12:49:00Z</dcterms:created>
  <dcterms:modified xsi:type="dcterms:W3CDTF">2014-07-10T12:49:00Z</dcterms:modified>
</cp:coreProperties>
</file>